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75" w:rsidRDefault="006F0A75" w:rsidP="008040CA">
      <w:pPr>
        <w:spacing w:before="120" w:after="240" w:line="240" w:lineRule="auto"/>
        <w:rPr>
          <w:rFonts w:cs="Tahoma"/>
          <w:b/>
          <w:sz w:val="24"/>
        </w:rPr>
      </w:pPr>
    </w:p>
    <w:p w:rsidR="00CE6678" w:rsidRPr="00CE6678" w:rsidRDefault="00DB6F27" w:rsidP="00051492">
      <w:pPr>
        <w:pStyle w:val="Akapitzlist"/>
        <w:spacing w:after="240" w:line="240" w:lineRule="auto"/>
        <w:ind w:left="0"/>
        <w:contextualSpacing w:val="0"/>
        <w:rPr>
          <w:rFonts w:eastAsia="Calibri" w:cs="Tahoma"/>
          <w:b/>
        </w:rPr>
      </w:pPr>
      <w:r>
        <w:rPr>
          <w:rFonts w:cs="Tahoma"/>
          <w:b/>
          <w:sz w:val="24"/>
        </w:rPr>
        <w:t>WY</w:t>
      </w:r>
      <w:r w:rsidR="00476583">
        <w:rPr>
          <w:rFonts w:cs="Tahoma"/>
          <w:b/>
          <w:sz w:val="24"/>
        </w:rPr>
        <w:t>JAŚNIENIA</w:t>
      </w:r>
      <w:r w:rsidR="00CE6678">
        <w:rPr>
          <w:rFonts w:cs="Tahoma"/>
          <w:b/>
          <w:sz w:val="24"/>
        </w:rPr>
        <w:t xml:space="preserve"> DO</w:t>
      </w:r>
      <w:r w:rsidR="00476583">
        <w:rPr>
          <w:rFonts w:cs="Tahoma"/>
          <w:b/>
          <w:sz w:val="24"/>
        </w:rPr>
        <w:t xml:space="preserve"> </w:t>
      </w:r>
      <w:r w:rsidR="00CE6678">
        <w:rPr>
          <w:rFonts w:cs="Tahoma"/>
          <w:b/>
          <w:sz w:val="24"/>
        </w:rPr>
        <w:t>PRIORYTETÓW</w:t>
      </w:r>
      <w:r w:rsidR="00A23C19" w:rsidRPr="00A23C19">
        <w:rPr>
          <w:rFonts w:cs="Tahoma"/>
          <w:b/>
          <w:sz w:val="24"/>
        </w:rPr>
        <w:t xml:space="preserve"> </w:t>
      </w:r>
      <w:r w:rsidR="00CE6678" w:rsidRPr="00CE6678">
        <w:rPr>
          <w:b/>
        </w:rPr>
        <w:t>WYDATKOWANIA ŚRODKÓW KFS USTALONE PRZEZ MINISTRA WŁAŚCIWEGO DS. PRACY</w:t>
      </w:r>
    </w:p>
    <w:p w:rsidR="007A4236" w:rsidRPr="007A4236" w:rsidRDefault="00A23C19" w:rsidP="001075B0">
      <w:pPr>
        <w:spacing w:before="120" w:line="240" w:lineRule="auto"/>
        <w:rPr>
          <w:rFonts w:cs="Tahoma"/>
          <w:b/>
          <w:sz w:val="24"/>
        </w:rPr>
      </w:pPr>
      <w:r w:rsidRPr="00A23C19">
        <w:rPr>
          <w:rFonts w:cs="Tahoma"/>
          <w:b/>
          <w:sz w:val="24"/>
        </w:rPr>
        <w:t>Priorytet PM/1 Wsparcie kształcenia ustawicznego skierowane do pracodawców</w:t>
      </w:r>
      <w:r w:rsidR="008040CA">
        <w:rPr>
          <w:rFonts w:cs="Tahoma"/>
          <w:b/>
          <w:sz w:val="24"/>
        </w:rPr>
        <w:t xml:space="preserve"> </w:t>
      </w:r>
      <w:r w:rsidR="004D2456" w:rsidRPr="007A4236">
        <w:rPr>
          <w:rFonts w:cs="Tahoma"/>
          <w:b/>
          <w:sz w:val="24"/>
        </w:rPr>
        <w:t>zatrudniających cudzoziemców.</w:t>
      </w:r>
    </w:p>
    <w:p w:rsidR="004D2456" w:rsidRPr="007A4236" w:rsidRDefault="00A23C19" w:rsidP="007A4236">
      <w:pPr>
        <w:spacing w:before="120" w:line="240" w:lineRule="auto"/>
        <w:contextualSpacing/>
        <w:rPr>
          <w:rFonts w:cs="Tahoma"/>
          <w:szCs w:val="22"/>
        </w:rPr>
      </w:pPr>
      <w:r w:rsidRPr="00A23C19">
        <w:rPr>
          <w:rFonts w:cs="Tahoma"/>
          <w:szCs w:val="22"/>
        </w:rPr>
        <w:t>W ramach tego priorytetu mogą być finansowane szkolenia zarówno dla cudzoziemców, jak</w:t>
      </w:r>
      <w:r w:rsidR="004D2456" w:rsidRPr="007A4236">
        <w:rPr>
          <w:rFonts w:cs="Tahoma"/>
          <w:szCs w:val="22"/>
        </w:rPr>
        <w:t xml:space="preserve"> </w:t>
      </w:r>
      <w:r w:rsidR="0097605D">
        <w:rPr>
          <w:rFonts w:cs="Tahoma"/>
          <w:szCs w:val="22"/>
        </w:rPr>
        <w:t xml:space="preserve">i </w:t>
      </w:r>
      <w:r w:rsidRPr="00A23C19">
        <w:rPr>
          <w:rFonts w:cs="Tahoma"/>
          <w:szCs w:val="22"/>
        </w:rPr>
        <w:t>polskich pracowników (to samo dotyczy pracodawców), które adresują specyficzne</w:t>
      </w:r>
      <w:r w:rsidR="004D2456"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potrzeby, jakie mają pracownicy cudzoziemscy i pracodawcy ich zatrudniający. Wśród specyficznych potrzeb pracowników cudzoziemskich wskazać można</w:t>
      </w:r>
      <w:r w:rsidR="004D2456"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szczególności:</w:t>
      </w:r>
    </w:p>
    <w:p w:rsidR="00A23C19" w:rsidRPr="007A4236" w:rsidRDefault="00A23C19" w:rsidP="007A4236">
      <w:pPr>
        <w:pStyle w:val="Akapitzlist"/>
        <w:numPr>
          <w:ilvl w:val="0"/>
          <w:numId w:val="2"/>
        </w:numPr>
        <w:spacing w:after="0" w:line="240" w:lineRule="auto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doskonalenie</w:t>
      </w:r>
      <w:proofErr w:type="gramEnd"/>
      <w:r w:rsidRPr="007A4236">
        <w:rPr>
          <w:rFonts w:cs="Tahoma"/>
          <w:szCs w:val="22"/>
        </w:rPr>
        <w:t xml:space="preserve"> znajomości języka polskiego oraz innych niezbędnych do pracy języków,</w:t>
      </w:r>
      <w:r w:rsidR="004D2456" w:rsidRPr="007A423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szczególnie w kontekście słownictwa specyficznego dla danego zawodu / branży;</w:t>
      </w:r>
    </w:p>
    <w:p w:rsidR="004D2456" w:rsidRPr="007A4236" w:rsidRDefault="00A23C19" w:rsidP="007A4236">
      <w:pPr>
        <w:pStyle w:val="Akapitzlist"/>
        <w:numPr>
          <w:ilvl w:val="0"/>
          <w:numId w:val="2"/>
        </w:numPr>
        <w:spacing w:after="0" w:line="240" w:lineRule="auto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doskonalenie</w:t>
      </w:r>
      <w:proofErr w:type="gramEnd"/>
      <w:r w:rsidRPr="007A4236">
        <w:rPr>
          <w:rFonts w:cs="Tahoma"/>
          <w:szCs w:val="22"/>
        </w:rPr>
        <w:t xml:space="preserve"> wiedzy z zakresu specyfiki polskich i unijnych regulacji dotyczących</w:t>
      </w:r>
      <w:r w:rsidR="0097605D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wykonywania określonego zawodu;</w:t>
      </w:r>
    </w:p>
    <w:p w:rsidR="004D2456" w:rsidRPr="007A4236" w:rsidRDefault="00A23C19" w:rsidP="007A4236">
      <w:pPr>
        <w:pStyle w:val="Akapitzlist"/>
        <w:numPr>
          <w:ilvl w:val="0"/>
          <w:numId w:val="2"/>
        </w:numPr>
        <w:spacing w:after="0" w:line="240" w:lineRule="auto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ułatwianie</w:t>
      </w:r>
      <w:proofErr w:type="gramEnd"/>
      <w:r w:rsidRPr="007A4236">
        <w:rPr>
          <w:rFonts w:cs="Tahoma"/>
          <w:szCs w:val="22"/>
        </w:rPr>
        <w:t xml:space="preserve"> rozwijania i uznawania w Polsce kwalifikacji nabytych w innym kraju;</w:t>
      </w:r>
    </w:p>
    <w:p w:rsidR="004D2456" w:rsidRPr="007A4236" w:rsidRDefault="00A23C19" w:rsidP="005D6A5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rozwój</w:t>
      </w:r>
      <w:proofErr w:type="gramEnd"/>
      <w:r w:rsidRPr="007A4236">
        <w:rPr>
          <w:rFonts w:cs="Tahoma"/>
          <w:szCs w:val="22"/>
        </w:rPr>
        <w:t xml:space="preserve"> miękkich kompetencji, w tym komunikacyjnych, uwzględniających konieczność</w:t>
      </w:r>
      <w:r w:rsidR="004D2456" w:rsidRPr="007A423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dostosowania się do kultury organizacyjnej polskich przedsiębiorstw i innych</w:t>
      </w:r>
      <w:r w:rsidR="004D2456" w:rsidRPr="007A423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podmiotów, zatrudniających cudzoziemców.</w:t>
      </w:r>
    </w:p>
    <w:p w:rsidR="004D2456" w:rsidRPr="007A4236" w:rsidRDefault="00A23C19" w:rsidP="00051492">
      <w:pPr>
        <w:spacing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>Ze szkoleń w ramach tego priorytetu mogą korzystać również pracodawcy i pracownicy</w:t>
      </w:r>
      <w:r w:rsidR="004D2456"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 polskim obywatelstwem o ile wykażą w uzasadnieniu wniosku, że szkolenie to ułatwi czy też</w:t>
      </w:r>
      <w:r w:rsidR="004D2456"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umożliwi im pracę z zatrudnionymi bądź planowanymi do zatrudnienia w przyszłości</w:t>
      </w:r>
      <w:r w:rsidR="004D2456" w:rsidRPr="007A4236">
        <w:rPr>
          <w:rFonts w:cs="Tahoma"/>
          <w:szCs w:val="22"/>
        </w:rPr>
        <w:t xml:space="preserve"> </w:t>
      </w:r>
      <w:r w:rsidR="00051492">
        <w:rPr>
          <w:rFonts w:cs="Tahoma"/>
          <w:szCs w:val="22"/>
        </w:rPr>
        <w:t>cudzoziemcami.</w:t>
      </w:r>
    </w:p>
    <w:p w:rsidR="006F0A75" w:rsidRDefault="00A23C19" w:rsidP="00051492">
      <w:pPr>
        <w:spacing w:after="40" w:line="240" w:lineRule="auto"/>
        <w:rPr>
          <w:rFonts w:cs="Tahoma"/>
          <w:szCs w:val="22"/>
        </w:rPr>
      </w:pPr>
      <w:r w:rsidRPr="00A23C19">
        <w:rPr>
          <w:rFonts w:cs="Tahoma"/>
          <w:b/>
          <w:sz w:val="24"/>
        </w:rPr>
        <w:t>Priorytet PM/2 Wsparcie kształcenia ustawic</w:t>
      </w:r>
      <w:r w:rsidR="00C34BF5">
        <w:rPr>
          <w:rFonts w:cs="Tahoma"/>
          <w:b/>
          <w:sz w:val="24"/>
        </w:rPr>
        <w:t xml:space="preserve">znego w związku z zastosowaniem </w:t>
      </w:r>
      <w:r w:rsidRPr="00A23C19">
        <w:rPr>
          <w:rFonts w:cs="Tahoma"/>
          <w:b/>
          <w:sz w:val="24"/>
        </w:rPr>
        <w:t>w firmach nowych procesó</w:t>
      </w:r>
      <w:r w:rsidR="00AA642E" w:rsidRPr="00AA642E">
        <w:rPr>
          <w:rFonts w:cs="Tahoma"/>
          <w:b/>
          <w:sz w:val="24"/>
        </w:rPr>
        <w:t>w</w:t>
      </w:r>
      <w:r w:rsidR="00942F37">
        <w:rPr>
          <w:rFonts w:cs="Tahoma"/>
          <w:b/>
          <w:sz w:val="24"/>
        </w:rPr>
        <w:t>, technologii i narzędzi pracy.</w:t>
      </w:r>
    </w:p>
    <w:p w:rsidR="00E74B72" w:rsidRPr="006F0A75" w:rsidRDefault="00A23C19" w:rsidP="006F0A75">
      <w:pPr>
        <w:spacing w:after="0" w:line="240" w:lineRule="auto"/>
        <w:rPr>
          <w:rFonts w:cs="Tahoma"/>
          <w:b/>
          <w:sz w:val="24"/>
        </w:rPr>
      </w:pPr>
      <w:r w:rsidRPr="00A23C19">
        <w:rPr>
          <w:rFonts w:cs="Tahoma"/>
          <w:szCs w:val="22"/>
        </w:rPr>
        <w:t>Należy pamiętać, że przez „nowe procesy, technologie czy narzędzia pracy” w niniejszym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priorytecie należy rozumieć procesy, technologie, maszyny czy rozwiązania nowe dla</w:t>
      </w:r>
      <w:r w:rsidR="0097605D">
        <w:rPr>
          <w:rFonts w:cs="Tahoma"/>
          <w:szCs w:val="22"/>
        </w:rPr>
        <w:t xml:space="preserve"> </w:t>
      </w:r>
      <w:r w:rsidR="00FC0AC3">
        <w:rPr>
          <w:rFonts w:cs="Tahoma"/>
          <w:szCs w:val="22"/>
        </w:rPr>
        <w:t xml:space="preserve">wnioskodawcy, </w:t>
      </w:r>
      <w:r w:rsidRPr="00A23C19">
        <w:rPr>
          <w:rFonts w:cs="Tahoma"/>
          <w:szCs w:val="22"/>
        </w:rPr>
        <w:t>a nie dla całego rynku. Przykładowo maszyna istniejąca na rynku od bardzo</w:t>
      </w:r>
      <w:r w:rsidR="00E45B16">
        <w:rPr>
          <w:rFonts w:cs="Tahoma"/>
          <w:szCs w:val="22"/>
        </w:rPr>
        <w:t xml:space="preserve"> </w:t>
      </w:r>
      <w:r w:rsidR="008C2A9A">
        <w:rPr>
          <w:rFonts w:cs="Tahoma"/>
          <w:szCs w:val="22"/>
        </w:rPr>
        <w:t xml:space="preserve">wielu lat, ale </w:t>
      </w:r>
      <w:r w:rsidRPr="00A23C19">
        <w:rPr>
          <w:rFonts w:cs="Tahoma"/>
          <w:szCs w:val="22"/>
        </w:rPr>
        <w:t>niewykorzystywana do tej pory w firmie wnioskodawcy jest w jego przypadku</w:t>
      </w:r>
      <w:r w:rsidR="00E45B16">
        <w:rPr>
          <w:rFonts w:cs="Tahoma"/>
          <w:szCs w:val="22"/>
        </w:rPr>
        <w:t xml:space="preserve"> </w:t>
      </w:r>
      <w:r w:rsidRPr="00F30BC5">
        <w:rPr>
          <w:rFonts w:cs="Tahoma"/>
          <w:b/>
          <w:szCs w:val="22"/>
        </w:rPr>
        <w:t>nową t</w:t>
      </w:r>
      <w:r w:rsidR="00F30BC5" w:rsidRPr="00F30BC5">
        <w:rPr>
          <w:rFonts w:cs="Tahoma"/>
          <w:b/>
          <w:szCs w:val="22"/>
        </w:rPr>
        <w:t>echnologią czy narzędziem pracy</w:t>
      </w:r>
      <w:r w:rsidRPr="00A23C19">
        <w:rPr>
          <w:rFonts w:cs="Tahoma"/>
          <w:szCs w:val="22"/>
        </w:rPr>
        <w:t>.</w:t>
      </w:r>
      <w:r w:rsidRPr="00A23C19">
        <w:rPr>
          <w:rFonts w:cs="Tahoma"/>
          <w:szCs w:val="22"/>
        </w:rPr>
        <w:br/>
        <w:t>Wnioskodawca, który chce spełnić wymagania priorytetu powinien udowodnić, że w ciągu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jednego roku przed złożeniem wniosku bądź w ciągu trzech miesięcy po jego złożeniu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zostały/</w:t>
      </w:r>
      <w:r w:rsidR="00E45B16">
        <w:rPr>
          <w:rFonts w:cs="Tahoma"/>
          <w:szCs w:val="22"/>
        </w:rPr>
        <w:t xml:space="preserve">zostaną </w:t>
      </w:r>
      <w:r w:rsidRPr="00A23C19">
        <w:rPr>
          <w:rFonts w:cs="Tahoma"/>
          <w:szCs w:val="22"/>
        </w:rPr>
        <w:t>zakupione nowe maszyny i narzędzia, bądź będą wdrożone nowe procesy,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technologie i systemy, a osoby objęte kształceniem ustawicznym będą wykonywać nowe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za</w:t>
      </w:r>
      <w:r w:rsidR="000C3867">
        <w:rPr>
          <w:rFonts w:cs="Tahoma"/>
          <w:szCs w:val="22"/>
        </w:rPr>
        <w:t>dania związane z wprowadzonymi/</w:t>
      </w:r>
      <w:r w:rsidRPr="00A23C19">
        <w:rPr>
          <w:rFonts w:cs="Tahoma"/>
          <w:szCs w:val="22"/>
        </w:rPr>
        <w:t xml:space="preserve">planowanymi do wprowadzenia zmianami. </w:t>
      </w:r>
    </w:p>
    <w:p w:rsidR="00A23C19" w:rsidRPr="00A23C19" w:rsidRDefault="00E74B72" w:rsidP="00A23C19">
      <w:pPr>
        <w:spacing w:after="0" w:line="240" w:lineRule="auto"/>
        <w:rPr>
          <w:rFonts w:cs="Tahoma"/>
          <w:szCs w:val="22"/>
        </w:rPr>
      </w:pPr>
      <w:r>
        <w:rPr>
          <w:rFonts w:cs="Tahoma"/>
          <w:szCs w:val="22"/>
        </w:rPr>
        <w:t>Decyzja zostanie</w:t>
      </w:r>
      <w:r w:rsidR="00A23C19" w:rsidRPr="00A23C19">
        <w:rPr>
          <w:rFonts w:cs="Tahoma"/>
          <w:szCs w:val="22"/>
        </w:rPr>
        <w:t xml:space="preserve"> podjęta na podstawie jakiegokolwiek wiarygodnego dla urzędu dokumentu</w:t>
      </w:r>
      <w:r w:rsidR="00E45B16"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dostarczonego przez wnioskodawcę, np. kopii dokumentów zakupu, decyzji dyrektora/</w:t>
      </w:r>
      <w:r w:rsidR="0097605D"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zarządu</w:t>
      </w:r>
      <w:r>
        <w:rPr>
          <w:rFonts w:cs="Tahoma"/>
          <w:szCs w:val="22"/>
        </w:rPr>
        <w:t xml:space="preserve"> o wprowadzeniu norm ISO, itp.</w:t>
      </w:r>
      <w:r>
        <w:rPr>
          <w:rFonts w:cs="Tahoma"/>
          <w:szCs w:val="22"/>
        </w:rPr>
        <w:br/>
      </w:r>
      <w:r w:rsidR="00A23C19" w:rsidRPr="00A23C19">
        <w:rPr>
          <w:rFonts w:cs="Tahoma"/>
          <w:szCs w:val="22"/>
        </w:rPr>
        <w:t>Wsparciem kształcenia ustawicznego w ramach priorytetu można objąć jedynie osobę, która</w:t>
      </w:r>
      <w:r w:rsidR="00A23C19" w:rsidRPr="00A23C19">
        <w:rPr>
          <w:rFonts w:cs="Tahoma"/>
          <w:szCs w:val="22"/>
        </w:rPr>
        <w:br/>
        <w:t>w ramach wykon</w:t>
      </w:r>
      <w:r w:rsidR="000C3867">
        <w:rPr>
          <w:rFonts w:cs="Tahoma"/>
          <w:szCs w:val="22"/>
        </w:rPr>
        <w:t>ywania swoich zadań zawodowych/</w:t>
      </w:r>
      <w:r w:rsidR="00A23C19" w:rsidRPr="00A23C19">
        <w:rPr>
          <w:rFonts w:cs="Tahoma"/>
          <w:szCs w:val="22"/>
        </w:rPr>
        <w:t>na stanowisku pracy korzysta lub będzie</w:t>
      </w:r>
      <w:r w:rsidR="00A23C19" w:rsidRPr="00A23C19">
        <w:rPr>
          <w:rFonts w:cs="Tahoma"/>
          <w:szCs w:val="22"/>
        </w:rPr>
        <w:br/>
        <w:t>korzystała z nowych technologii i narzędzi pracy lub wdrażała nowe procesy.</w:t>
      </w:r>
    </w:p>
    <w:p w:rsidR="00802BF7" w:rsidRDefault="00A23C19" w:rsidP="00051492">
      <w:pPr>
        <w:spacing w:after="40"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br/>
      </w:r>
      <w:r w:rsidRPr="00A23C19">
        <w:rPr>
          <w:rFonts w:cs="Tahoma"/>
          <w:b/>
          <w:sz w:val="24"/>
        </w:rPr>
        <w:t xml:space="preserve">Priorytet PM/3 Wsparcie kształcenia ustawicznego w zidentyfikowanych </w:t>
      </w:r>
      <w:r w:rsidR="00E74B72">
        <w:rPr>
          <w:rFonts w:cs="Tahoma"/>
          <w:b/>
          <w:sz w:val="24"/>
        </w:rPr>
        <w:br/>
      </w:r>
      <w:r w:rsidRPr="00A23C19">
        <w:rPr>
          <w:rFonts w:cs="Tahoma"/>
          <w:b/>
          <w:sz w:val="24"/>
        </w:rPr>
        <w:t>w danym</w:t>
      </w:r>
      <w:r w:rsidR="00E74B72">
        <w:rPr>
          <w:rFonts w:cs="Tahoma"/>
          <w:b/>
          <w:sz w:val="24"/>
        </w:rPr>
        <w:t xml:space="preserve"> </w:t>
      </w:r>
      <w:r w:rsidRPr="00A23C19">
        <w:rPr>
          <w:rFonts w:cs="Tahoma"/>
          <w:b/>
          <w:sz w:val="24"/>
        </w:rPr>
        <w:t>powiecie lub woje</w:t>
      </w:r>
      <w:r w:rsidR="00E74B72" w:rsidRPr="00E74B72">
        <w:rPr>
          <w:rFonts w:cs="Tahoma"/>
          <w:b/>
          <w:sz w:val="24"/>
        </w:rPr>
        <w:t>wództwie zawodach deficytowych</w:t>
      </w:r>
      <w:r w:rsidR="00E74B72">
        <w:rPr>
          <w:rFonts w:cs="Tahoma"/>
          <w:szCs w:val="22"/>
        </w:rPr>
        <w:t>.</w:t>
      </w:r>
    </w:p>
    <w:p w:rsidR="00E74B72" w:rsidRPr="00A77C0A" w:rsidRDefault="00A23C19" w:rsidP="00802BF7">
      <w:pPr>
        <w:spacing w:line="240" w:lineRule="auto"/>
        <w:rPr>
          <w:rFonts w:cs="Tahoma"/>
          <w:szCs w:val="22"/>
        </w:rPr>
      </w:pPr>
      <w:r w:rsidRPr="00A77C0A">
        <w:rPr>
          <w:rFonts w:cs="Tahoma"/>
          <w:szCs w:val="22"/>
        </w:rPr>
        <w:t>Wnioskodawca, który chce spełnić wymagania niniejszego priorytetu powinien udowodnić,</w:t>
      </w:r>
      <w:r w:rsidR="0097605D" w:rsidRPr="00A77C0A">
        <w:rPr>
          <w:rFonts w:cs="Tahoma"/>
          <w:szCs w:val="22"/>
        </w:rPr>
        <w:t xml:space="preserve"> </w:t>
      </w:r>
      <w:r w:rsidR="00E45B16" w:rsidRPr="00A77C0A">
        <w:rPr>
          <w:rFonts w:cs="Tahoma"/>
          <w:szCs w:val="22"/>
        </w:rPr>
        <w:t xml:space="preserve">że </w:t>
      </w:r>
      <w:r w:rsidRPr="00A77C0A">
        <w:rPr>
          <w:rFonts w:cs="Tahoma"/>
          <w:szCs w:val="22"/>
        </w:rPr>
        <w:t>wskazana forma kształcenia ustawicznego dotyczy zawodu deficytowego na terenie</w:t>
      </w:r>
      <w:r w:rsidR="0097605D" w:rsidRPr="00A77C0A">
        <w:rPr>
          <w:rFonts w:cs="Tahoma"/>
          <w:szCs w:val="22"/>
        </w:rPr>
        <w:t xml:space="preserve"> </w:t>
      </w:r>
      <w:r w:rsidR="008040CA" w:rsidRPr="00A77C0A">
        <w:rPr>
          <w:rFonts w:cs="Tahoma"/>
          <w:szCs w:val="22"/>
        </w:rPr>
        <w:t xml:space="preserve">powiatu </w:t>
      </w:r>
      <w:r w:rsidR="00870DFA" w:rsidRPr="00A77C0A">
        <w:rPr>
          <w:rFonts w:cs="Tahoma"/>
          <w:szCs w:val="22"/>
        </w:rPr>
        <w:t xml:space="preserve">olkuskiego </w:t>
      </w:r>
      <w:r w:rsidR="008040CA" w:rsidRPr="00A77C0A">
        <w:rPr>
          <w:rFonts w:cs="Tahoma"/>
          <w:szCs w:val="22"/>
        </w:rPr>
        <w:t>bądź województwa</w:t>
      </w:r>
      <w:r w:rsidR="00C92476" w:rsidRPr="00A77C0A">
        <w:rPr>
          <w:rFonts w:cs="Tahoma"/>
          <w:szCs w:val="22"/>
        </w:rPr>
        <w:t xml:space="preserve"> małopolskiego. P</w:t>
      </w:r>
      <w:r w:rsidR="00903FB2" w:rsidRPr="00A77C0A">
        <w:rPr>
          <w:rFonts w:cs="Tahoma"/>
          <w:szCs w:val="22"/>
        </w:rPr>
        <w:t>rzy ocenie uwzględniany będzie b</w:t>
      </w:r>
      <w:r w:rsidR="00C92476" w:rsidRPr="00A77C0A">
        <w:rPr>
          <w:rFonts w:cs="Tahoma"/>
          <w:szCs w:val="22"/>
        </w:rPr>
        <w:t xml:space="preserve">arometr zawodów </w:t>
      </w:r>
      <w:r w:rsidR="00E74B72" w:rsidRPr="00A77C0A">
        <w:rPr>
          <w:rFonts w:cs="Tahoma"/>
          <w:szCs w:val="22"/>
        </w:rPr>
        <w:t>na 2023</w:t>
      </w:r>
      <w:r w:rsidR="00E45B16" w:rsidRPr="00A77C0A">
        <w:rPr>
          <w:rFonts w:cs="Tahoma"/>
          <w:szCs w:val="22"/>
        </w:rPr>
        <w:t xml:space="preserve"> r</w:t>
      </w:r>
      <w:r w:rsidR="00C92476" w:rsidRPr="00A77C0A">
        <w:rPr>
          <w:rFonts w:cs="Tahoma"/>
          <w:szCs w:val="22"/>
        </w:rPr>
        <w:t xml:space="preserve">ok w powiecie olkuskim lub </w:t>
      </w:r>
      <w:r w:rsidR="00E74B72" w:rsidRPr="00A77C0A">
        <w:rPr>
          <w:rFonts w:cs="Tahoma"/>
          <w:szCs w:val="22"/>
        </w:rPr>
        <w:t>województwie małopolskim.</w:t>
      </w:r>
      <w:r w:rsidR="00C92476" w:rsidRPr="00A77C0A">
        <w:rPr>
          <w:rFonts w:cs="Tahoma"/>
          <w:szCs w:val="22"/>
        </w:rPr>
        <w:br/>
        <w:t xml:space="preserve">Pracodawca mający siedzibę na terenie powiatu olkuskiego a wnioskujący o dofinansowanie kształcenia ustawicznego pracowników zatrudnionych na terenie innego powiatu lub województwa niż siedziba Powiatowego Urzędu Pracy w Olkuszu, powinien wykazać, że zawód jest deficytowy dla miejsca wykonywania pracy. Wówczas </w:t>
      </w:r>
      <w:r w:rsidR="00903FB2" w:rsidRPr="00A77C0A">
        <w:rPr>
          <w:rFonts w:cs="Tahoma"/>
          <w:szCs w:val="22"/>
        </w:rPr>
        <w:t>uwzględniany będzie b</w:t>
      </w:r>
      <w:r w:rsidR="00C92476" w:rsidRPr="00A77C0A">
        <w:rPr>
          <w:rFonts w:cs="Tahoma"/>
          <w:szCs w:val="22"/>
        </w:rPr>
        <w:t>arometr zawodów na 2023 rok z powiatu lub województwa gdzie wykonywana jest praca.</w:t>
      </w:r>
      <w:r w:rsidRPr="00A77C0A">
        <w:rPr>
          <w:rFonts w:cs="Tahoma"/>
          <w:szCs w:val="22"/>
        </w:rPr>
        <w:br/>
      </w:r>
    </w:p>
    <w:p w:rsidR="00802BF7" w:rsidRDefault="00A23C19" w:rsidP="00051492">
      <w:pPr>
        <w:spacing w:after="40" w:line="240" w:lineRule="auto"/>
        <w:rPr>
          <w:rFonts w:cs="Tahoma"/>
          <w:b/>
          <w:sz w:val="24"/>
        </w:rPr>
      </w:pPr>
      <w:r w:rsidRPr="00A23C19">
        <w:rPr>
          <w:rFonts w:cs="Tahoma"/>
          <w:b/>
          <w:sz w:val="24"/>
        </w:rPr>
        <w:lastRenderedPageBreak/>
        <w:t>Priorytet PM/4 Wsparcie kształcenia ustawicznego dla nowozatrudnionych osób (lub</w:t>
      </w:r>
      <w:r w:rsidR="00E74B72">
        <w:rPr>
          <w:rFonts w:cs="Tahoma"/>
          <w:b/>
          <w:sz w:val="24"/>
        </w:rPr>
        <w:t xml:space="preserve"> </w:t>
      </w:r>
      <w:r w:rsidRPr="00A23C19">
        <w:rPr>
          <w:rFonts w:cs="Tahoma"/>
          <w:b/>
          <w:sz w:val="24"/>
        </w:rPr>
        <w:t>osób, którym zmieniono zakres obowiązków) powyżej 50 roku życia.</w:t>
      </w:r>
    </w:p>
    <w:p w:rsidR="008040CA" w:rsidRPr="00802BF7" w:rsidRDefault="00A23C19" w:rsidP="00A23C19">
      <w:pPr>
        <w:spacing w:after="0" w:line="240" w:lineRule="auto"/>
        <w:rPr>
          <w:rFonts w:cs="Tahoma"/>
          <w:b/>
          <w:sz w:val="24"/>
        </w:rPr>
      </w:pPr>
      <w:r w:rsidRPr="00A23C19">
        <w:rPr>
          <w:rFonts w:cs="Tahoma"/>
          <w:szCs w:val="22"/>
        </w:rPr>
        <w:t>W ramach niniejszego priorytetu środki KFS będą mogły sfinansować kształcenie ustawiczne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osób wyłącznie w wieku powyżej 50 roku życia (zarówno pracodawców jak i pracowników),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które zostały zatrudnione w okresie ostatniego roku lub w okresie ostatniego roku miały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zmieniony zakres</w:t>
      </w:r>
      <w:r w:rsidR="009D0F1B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obowiązków w aktualnym miejscu pracy lub będą je miały zmieniony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perspektywie najbliższych 3 miesięcy od momentu złożenia wniosku.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Decyduje wiek osoby</w:t>
      </w:r>
      <w:r w:rsidR="00E45B16">
        <w:rPr>
          <w:rFonts w:cs="Tahoma"/>
          <w:szCs w:val="22"/>
        </w:rPr>
        <w:t xml:space="preserve">, która skorzysta z kształcenia </w:t>
      </w:r>
      <w:r w:rsidRPr="00A23C19">
        <w:rPr>
          <w:rFonts w:cs="Tahoma"/>
          <w:szCs w:val="22"/>
        </w:rPr>
        <w:t>ustawicznego, w momencie składania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przez pracodawcę wniosku o dofinansowanie w PUP.</w:t>
      </w:r>
      <w:r w:rsidRPr="00A23C19">
        <w:rPr>
          <w:rFonts w:cs="Tahoma"/>
          <w:szCs w:val="22"/>
        </w:rPr>
        <w:br/>
        <w:t xml:space="preserve">Temat szkolenia/kursu nie jest narzucony z góry. </w:t>
      </w:r>
      <w:r w:rsidR="00903FB2">
        <w:rPr>
          <w:rFonts w:cs="Tahoma"/>
          <w:szCs w:val="22"/>
        </w:rPr>
        <w:br/>
      </w:r>
      <w:r w:rsidRPr="00A23C19">
        <w:rPr>
          <w:rFonts w:cs="Tahoma"/>
          <w:szCs w:val="22"/>
        </w:rPr>
        <w:t>W uzasadnieniu należy wykazać potrzebę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nabycia umiejętności.</w:t>
      </w:r>
    </w:p>
    <w:p w:rsidR="008040CA" w:rsidRPr="00802BF7" w:rsidRDefault="00A23C19" w:rsidP="00051492">
      <w:pPr>
        <w:spacing w:after="40" w:line="240" w:lineRule="auto"/>
        <w:rPr>
          <w:rFonts w:cs="Tahoma"/>
          <w:b/>
          <w:szCs w:val="22"/>
        </w:rPr>
      </w:pPr>
      <w:r w:rsidRPr="00A23C19">
        <w:rPr>
          <w:rFonts w:cs="Tahoma"/>
          <w:szCs w:val="22"/>
        </w:rPr>
        <w:br/>
      </w:r>
      <w:r w:rsidRPr="00A23C19">
        <w:rPr>
          <w:rFonts w:cs="Tahoma"/>
          <w:b/>
          <w:szCs w:val="22"/>
        </w:rPr>
        <w:t>Priorytet PM/5 Wsparcie kształcenia ustawicznego os</w:t>
      </w:r>
      <w:r w:rsidR="00C34BF5">
        <w:rPr>
          <w:rFonts w:cs="Tahoma"/>
          <w:b/>
          <w:szCs w:val="22"/>
        </w:rPr>
        <w:t xml:space="preserve">ób powracających na rynek pracy </w:t>
      </w:r>
      <w:r w:rsidRPr="00A23C19">
        <w:rPr>
          <w:rFonts w:cs="Tahoma"/>
          <w:b/>
          <w:szCs w:val="22"/>
        </w:rPr>
        <w:t>po przerwie związanej ze sprawowaniem opieki n</w:t>
      </w:r>
      <w:r w:rsidR="00C34BF5">
        <w:rPr>
          <w:rFonts w:cs="Tahoma"/>
          <w:b/>
          <w:szCs w:val="22"/>
        </w:rPr>
        <w:t xml:space="preserve">ad dzieckiem oraz osób będących </w:t>
      </w:r>
      <w:r w:rsidR="00070D76">
        <w:rPr>
          <w:rFonts w:cs="Tahoma"/>
          <w:b/>
          <w:szCs w:val="22"/>
        </w:rPr>
        <w:t>członkami rodzin wielodzietnych.</w:t>
      </w:r>
    </w:p>
    <w:p w:rsidR="00E45B16" w:rsidRDefault="00A23C19" w:rsidP="00802BF7">
      <w:pPr>
        <w:spacing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>Przyjęty zapis priorytetu pozwala na sfinansowanie niezbędnych form kształcenia</w:t>
      </w:r>
      <w:r w:rsidR="0097605D">
        <w:rPr>
          <w:rFonts w:cs="Tahoma"/>
          <w:szCs w:val="22"/>
        </w:rPr>
        <w:t xml:space="preserve"> </w:t>
      </w:r>
      <w:r w:rsidR="00E45B16">
        <w:rPr>
          <w:rFonts w:cs="Tahoma"/>
          <w:szCs w:val="22"/>
        </w:rPr>
        <w:t xml:space="preserve">ustawicznego </w:t>
      </w:r>
      <w:r w:rsidRPr="00A23C19">
        <w:rPr>
          <w:rFonts w:cs="Tahoma"/>
          <w:szCs w:val="22"/>
        </w:rPr>
        <w:t>osobom (np. matce, ojcu, opiekunowi prawnemu), które powracają na rynek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pracy po przerwie spowodowanej sprawowaniem opieki nad dzieckiem.</w:t>
      </w:r>
      <w:r w:rsidR="009D0F1B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Priorytet adresowany jest do osób, które w ciągu jednego roku przed datą złożenia wniosku</w:t>
      </w:r>
      <w:r w:rsidR="009D0F1B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o dofinansowanie podjęły pracę po przerwie spowodowanej sprawowaniem opieki nad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dzieckiem.</w:t>
      </w:r>
      <w:r w:rsidRPr="00A23C19">
        <w:rPr>
          <w:rFonts w:cs="Tahoma"/>
          <w:szCs w:val="22"/>
        </w:rPr>
        <w:br/>
        <w:t xml:space="preserve">Dostępność do priorytetu nie jest warunkowana powodem przerwy w </w:t>
      </w:r>
      <w:r w:rsidR="00C34BF5">
        <w:rPr>
          <w:rFonts w:cs="Tahoma"/>
          <w:szCs w:val="22"/>
        </w:rPr>
        <w:t xml:space="preserve">pracy tj. nie jest istotne </w:t>
      </w:r>
      <w:r w:rsidRPr="00A23C19">
        <w:rPr>
          <w:rFonts w:cs="Tahoma"/>
          <w:szCs w:val="22"/>
        </w:rPr>
        <w:t xml:space="preserve">czy był to urlop macierzyński, wychowawczy czy zwolnienie </w:t>
      </w:r>
      <w:r w:rsidR="00C34BF5">
        <w:rPr>
          <w:rFonts w:cs="Tahoma"/>
          <w:szCs w:val="22"/>
        </w:rPr>
        <w:t xml:space="preserve">na opiekę nad dzieckiem. Nie ma </w:t>
      </w:r>
      <w:r w:rsidRPr="00A23C19">
        <w:rPr>
          <w:rFonts w:cs="Tahoma"/>
          <w:szCs w:val="22"/>
        </w:rPr>
        <w:t>również zn</w:t>
      </w:r>
      <w:r w:rsidR="00C6332F">
        <w:rPr>
          <w:rFonts w:cs="Tahoma"/>
          <w:szCs w:val="22"/>
        </w:rPr>
        <w:t xml:space="preserve">aczenia długość przerwy w pracy, </w:t>
      </w:r>
      <w:r w:rsidRPr="00A23C19">
        <w:rPr>
          <w:rFonts w:cs="Tahoma"/>
          <w:szCs w:val="22"/>
        </w:rPr>
        <w:t>jak również to c</w:t>
      </w:r>
      <w:r w:rsidR="00C34BF5">
        <w:rPr>
          <w:rFonts w:cs="Tahoma"/>
          <w:szCs w:val="22"/>
        </w:rPr>
        <w:t xml:space="preserve">zy jest to powrót do pracodawcy </w:t>
      </w:r>
      <w:r w:rsidRPr="00A23C19">
        <w:rPr>
          <w:rFonts w:cs="Tahoma"/>
          <w:szCs w:val="22"/>
        </w:rPr>
        <w:t>sprzed przerwy czy zatrudnienie u nowego pracodawcy.</w:t>
      </w:r>
      <w:r w:rsidRPr="00A23C19">
        <w:rPr>
          <w:rFonts w:cs="Tahoma"/>
          <w:szCs w:val="22"/>
        </w:rPr>
        <w:br/>
        <w:t>Wnioskodaw</w:t>
      </w:r>
      <w:r w:rsidR="00903FB2">
        <w:rPr>
          <w:rFonts w:cs="Tahoma"/>
          <w:szCs w:val="22"/>
        </w:rPr>
        <w:t>ca powinien oświadczyć</w:t>
      </w:r>
      <w:r w:rsidRPr="00A23C19">
        <w:rPr>
          <w:rFonts w:cs="Tahoma"/>
          <w:szCs w:val="22"/>
        </w:rPr>
        <w:t>, że potencjalny uczestnik</w:t>
      </w:r>
      <w:r w:rsidR="0097605D">
        <w:rPr>
          <w:rFonts w:cs="Tahoma"/>
          <w:szCs w:val="22"/>
        </w:rPr>
        <w:t xml:space="preserve"> szkolenia </w:t>
      </w:r>
      <w:r w:rsidRPr="00A23C19">
        <w:rPr>
          <w:rFonts w:cs="Tahoma"/>
          <w:szCs w:val="22"/>
        </w:rPr>
        <w:t>spełnia warunki dostępu do priorytetu bez szczegółowych informacji mogących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zostać uznane za dane wrażliwe np. powody pozostawania bez pracy.</w:t>
      </w:r>
    </w:p>
    <w:p w:rsidR="00C34BF5" w:rsidRDefault="00A23C19" w:rsidP="00C34BF5">
      <w:pPr>
        <w:spacing w:line="240" w:lineRule="auto"/>
        <w:contextualSpacing/>
        <w:rPr>
          <w:rFonts w:cs="Tahoma"/>
          <w:szCs w:val="22"/>
        </w:rPr>
      </w:pPr>
      <w:r w:rsidRPr="00A23C19">
        <w:rPr>
          <w:rFonts w:cs="Tahoma"/>
          <w:szCs w:val="22"/>
        </w:rPr>
        <w:t>Priorytet adresowany jest także do osób, które mają na utrzymaniu rodziny 3+ bądź są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członkami takich rodzin</w:t>
      </w:r>
      <w:r w:rsidR="00E45B16">
        <w:rPr>
          <w:rFonts w:cs="Tahoma"/>
          <w:szCs w:val="22"/>
        </w:rPr>
        <w:t xml:space="preserve">. </w:t>
      </w:r>
      <w:r w:rsidRPr="00A23C19">
        <w:rPr>
          <w:rFonts w:cs="Tahoma"/>
          <w:szCs w:val="22"/>
        </w:rPr>
        <w:t>Z dofinansowania w ramach priorytetu mo</w:t>
      </w:r>
      <w:r w:rsidR="00E45B16">
        <w:rPr>
          <w:rFonts w:cs="Tahoma"/>
          <w:szCs w:val="22"/>
        </w:rPr>
        <w:t xml:space="preserve">gą skorzystać członkowie rodzin </w:t>
      </w:r>
      <w:r w:rsidRPr="00A23C19">
        <w:rPr>
          <w:rFonts w:cs="Tahoma"/>
          <w:szCs w:val="22"/>
        </w:rPr>
        <w:t>wielodzietnych,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którzy na dzień złożenia wniosku posiadają Kartę Dużej Rodziny bądź spełniają warunki jej</w:t>
      </w:r>
      <w:r w:rsidR="0097605D">
        <w:rPr>
          <w:rFonts w:cs="Tahoma"/>
          <w:szCs w:val="22"/>
        </w:rPr>
        <w:t xml:space="preserve"> </w:t>
      </w:r>
      <w:r w:rsidR="00E45B16">
        <w:rPr>
          <w:rFonts w:cs="Tahoma"/>
          <w:szCs w:val="22"/>
        </w:rPr>
        <w:t>posiadania. D</w:t>
      </w:r>
      <w:r w:rsidRPr="00A23C19">
        <w:rPr>
          <w:rFonts w:cs="Tahoma"/>
          <w:szCs w:val="22"/>
        </w:rPr>
        <w:t>otyczy to zarówno rodziców i ich małżonków, jak</w:t>
      </w:r>
      <w:r w:rsidR="0097605D">
        <w:rPr>
          <w:rFonts w:cs="Tahoma"/>
          <w:szCs w:val="22"/>
        </w:rPr>
        <w:t xml:space="preserve"> i pracujących dzieci </w:t>
      </w:r>
      <w:r w:rsidRPr="00A23C19">
        <w:rPr>
          <w:rFonts w:cs="Tahoma"/>
          <w:szCs w:val="22"/>
        </w:rPr>
        <w:t>pozostających z nimi w jednym gospodarstwie domowym.</w:t>
      </w:r>
    </w:p>
    <w:p w:rsidR="00A23C19" w:rsidRDefault="00A23C19" w:rsidP="00C34BF5">
      <w:pPr>
        <w:spacing w:line="240" w:lineRule="auto"/>
        <w:contextualSpacing/>
        <w:rPr>
          <w:rFonts w:cs="Tahoma"/>
          <w:szCs w:val="22"/>
        </w:rPr>
      </w:pPr>
      <w:r w:rsidRPr="00A23C19">
        <w:rPr>
          <w:rFonts w:cs="Tahoma"/>
          <w:szCs w:val="22"/>
        </w:rPr>
        <w:br/>
      </w:r>
      <w:r w:rsidRPr="00A23C19">
        <w:rPr>
          <w:rFonts w:cs="Tahoma"/>
          <w:b/>
          <w:szCs w:val="22"/>
        </w:rPr>
        <w:t>Uwaga:</w:t>
      </w:r>
      <w:r w:rsidRPr="00A23C19">
        <w:rPr>
          <w:rFonts w:cs="Tahoma"/>
          <w:szCs w:val="22"/>
        </w:rPr>
        <w:t xml:space="preserve"> </w:t>
      </w:r>
      <w:r w:rsidR="006A1219">
        <w:rPr>
          <w:rFonts w:cs="Tahoma"/>
          <w:szCs w:val="22"/>
        </w:rPr>
        <w:br/>
      </w:r>
      <w:r w:rsidRPr="00A23C19">
        <w:rPr>
          <w:rFonts w:cs="Tahoma"/>
          <w:szCs w:val="22"/>
        </w:rPr>
        <w:t>Warunki - powrotu na rynek pracy po przerwie związanej ze sprawowaniem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opieki nad dzieckiem oraz bycia członkiem rodziny wielodzietnej - nie muszą być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spełniane łącznie.</w:t>
      </w:r>
    </w:p>
    <w:p w:rsidR="006946C8" w:rsidRDefault="00A23C19" w:rsidP="00051492">
      <w:pPr>
        <w:spacing w:after="40" w:line="240" w:lineRule="auto"/>
        <w:rPr>
          <w:rFonts w:cs="Tahoma"/>
          <w:b/>
          <w:sz w:val="24"/>
        </w:rPr>
      </w:pPr>
      <w:r w:rsidRPr="00A23C19">
        <w:rPr>
          <w:rFonts w:cs="Tahoma"/>
          <w:szCs w:val="22"/>
        </w:rPr>
        <w:br/>
      </w:r>
      <w:r w:rsidRPr="00A23C19">
        <w:rPr>
          <w:rFonts w:cs="Tahoma"/>
          <w:b/>
          <w:sz w:val="24"/>
        </w:rPr>
        <w:t>Priorytet PM/6 Wsparcie kształcenia ustawicznego osób poniżej 30 roku życia w</w:t>
      </w:r>
      <w:r w:rsidR="006946C8">
        <w:rPr>
          <w:rFonts w:cs="Tahoma"/>
          <w:b/>
          <w:sz w:val="24"/>
        </w:rPr>
        <w:t xml:space="preserve"> </w:t>
      </w:r>
      <w:r w:rsidRPr="00A23C19">
        <w:rPr>
          <w:rFonts w:cs="Tahoma"/>
          <w:b/>
          <w:sz w:val="24"/>
        </w:rPr>
        <w:t>zakresie umiejętności cyfrowych oraz umiejętności związanych z branżą energetyczną</w:t>
      </w:r>
      <w:r w:rsidR="006946C8">
        <w:rPr>
          <w:rFonts w:cs="Tahoma"/>
          <w:b/>
          <w:sz w:val="24"/>
        </w:rPr>
        <w:t xml:space="preserve"> </w:t>
      </w:r>
      <w:r w:rsidR="006946C8" w:rsidRPr="006946C8">
        <w:rPr>
          <w:rFonts w:cs="Tahoma"/>
          <w:b/>
          <w:sz w:val="24"/>
        </w:rPr>
        <w:t>i gospodarką odpadami.</w:t>
      </w:r>
    </w:p>
    <w:p w:rsidR="00802BF7" w:rsidRDefault="00A23C19" w:rsidP="00802BF7">
      <w:pPr>
        <w:spacing w:line="240" w:lineRule="auto"/>
        <w:contextualSpacing/>
        <w:rPr>
          <w:rFonts w:cs="Tahoma"/>
          <w:szCs w:val="22"/>
        </w:rPr>
      </w:pPr>
      <w:r w:rsidRPr="00A23C19">
        <w:rPr>
          <w:rFonts w:cs="Tahoma"/>
          <w:szCs w:val="22"/>
        </w:rPr>
        <w:t>Niniejszy priorytet wynika z dwóch coraz bardziej widocznych zjawisk związanych z rynkiem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pracy. Po pierwsze, coraz większym wyzwaniem jest odpowiednie kształtowanie aktywności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 xml:space="preserve">zawodowej osób młodych, w tym podejmowanie przez te osoby </w:t>
      </w:r>
      <w:proofErr w:type="gramStart"/>
      <w:r w:rsidRPr="00A23C19">
        <w:rPr>
          <w:rFonts w:cs="Tahoma"/>
          <w:szCs w:val="22"/>
        </w:rPr>
        <w:t>dobrej jakości</w:t>
      </w:r>
      <w:proofErr w:type="gramEnd"/>
      <w:r w:rsidRPr="00A23C19">
        <w:rPr>
          <w:rFonts w:cs="Tahoma"/>
          <w:szCs w:val="22"/>
        </w:rPr>
        <w:t xml:space="preserve"> zatrudnienia,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pozwalającego na stałe podnoszenie umiejętności. Po drugie, postęp technologiczny</w:t>
      </w:r>
      <w:r w:rsidR="00E45B16">
        <w:rPr>
          <w:rFonts w:cs="Tahoma"/>
          <w:szCs w:val="22"/>
        </w:rPr>
        <w:t xml:space="preserve"> i cyfrowy oraz transformacja </w:t>
      </w:r>
      <w:r w:rsidRPr="00A23C19">
        <w:rPr>
          <w:rFonts w:cs="Tahoma"/>
          <w:szCs w:val="22"/>
        </w:rPr>
        <w:t>energetyczna będą skutkować istotnymi zmianami w strukturze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zatrudnienia oraz popycie na konkretne zawo</w:t>
      </w:r>
      <w:r w:rsidR="00802BF7">
        <w:rPr>
          <w:rFonts w:cs="Tahoma"/>
          <w:szCs w:val="22"/>
        </w:rPr>
        <w:t>dy i umiejętności. W</w:t>
      </w:r>
      <w:r w:rsidRPr="00A23C19">
        <w:rPr>
          <w:rFonts w:cs="Tahoma"/>
          <w:szCs w:val="22"/>
        </w:rPr>
        <w:t xml:space="preserve"> przypadku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osób młodych</w:t>
      </w:r>
      <w:r w:rsidR="00802BF7">
        <w:rPr>
          <w:rFonts w:cs="Tahoma"/>
          <w:szCs w:val="22"/>
        </w:rPr>
        <w:t xml:space="preserve"> ważne jest to, by </w:t>
      </w:r>
      <w:r w:rsidRPr="00A23C19">
        <w:rPr>
          <w:rFonts w:cs="Tahoma"/>
          <w:szCs w:val="22"/>
        </w:rPr>
        <w:t>wchodząc na rynek pracy zostały one wyposażone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umiejętności, które nie będą się szybko dezaktualizować i pozwolą na stały rozwój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posiadanego doświadczenia, wiedzy i umiejętności. Z punktu widzenia pracodawców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perspektywie wieloletniej ważne będzie to, by kadry gospodarki dysponowały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 xml:space="preserve">nowoczesnymi umiejętnościami, potrzebnymi w </w:t>
      </w:r>
      <w:proofErr w:type="spellStart"/>
      <w:r w:rsidRPr="00A23C19">
        <w:rPr>
          <w:rFonts w:cs="Tahoma"/>
          <w:szCs w:val="22"/>
        </w:rPr>
        <w:t>scyfryzowanych</w:t>
      </w:r>
      <w:proofErr w:type="spellEnd"/>
      <w:r w:rsidRPr="00A23C19">
        <w:rPr>
          <w:rFonts w:cs="Tahoma"/>
          <w:szCs w:val="22"/>
        </w:rPr>
        <w:t xml:space="preserve"> branżach oraz (lub w tym)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sektorze energetycznym i gospodarce obiegu zamkniętego.</w:t>
      </w:r>
    </w:p>
    <w:p w:rsidR="0097605D" w:rsidRDefault="00A23C19" w:rsidP="009D0F1B">
      <w:pPr>
        <w:spacing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br/>
      </w:r>
      <w:r w:rsidR="00F36180">
        <w:rPr>
          <w:rFonts w:cs="Tahoma"/>
          <w:b/>
          <w:szCs w:val="22"/>
        </w:rPr>
        <w:br/>
      </w:r>
      <w:r w:rsidR="00F36180">
        <w:rPr>
          <w:rFonts w:cs="Tahoma"/>
          <w:b/>
          <w:szCs w:val="22"/>
        </w:rPr>
        <w:lastRenderedPageBreak/>
        <w:br/>
      </w:r>
      <w:r w:rsidRPr="00A23C19">
        <w:rPr>
          <w:rFonts w:cs="Tahoma"/>
          <w:b/>
          <w:szCs w:val="22"/>
        </w:rPr>
        <w:t xml:space="preserve">Wsparcie kształcenia ustawicznego osób młodych do 30 r.ż. w zakresie </w:t>
      </w:r>
      <w:r w:rsidR="00051492">
        <w:rPr>
          <w:rFonts w:cs="Tahoma"/>
          <w:b/>
          <w:szCs w:val="22"/>
        </w:rPr>
        <w:t>umiejętności</w:t>
      </w:r>
      <w:r w:rsidR="00C6332F">
        <w:rPr>
          <w:rFonts w:cs="Tahoma"/>
          <w:b/>
          <w:szCs w:val="22"/>
        </w:rPr>
        <w:t xml:space="preserve"> </w:t>
      </w:r>
      <w:bookmarkStart w:id="0" w:name="_GoBack"/>
      <w:bookmarkEnd w:id="0"/>
      <w:r w:rsidRPr="00A23C19">
        <w:rPr>
          <w:rFonts w:cs="Tahoma"/>
          <w:b/>
          <w:szCs w:val="22"/>
        </w:rPr>
        <w:t>cyfrowych</w:t>
      </w:r>
      <w:r w:rsidR="0097605D" w:rsidRPr="0097605D">
        <w:rPr>
          <w:rFonts w:cs="Tahoma"/>
          <w:b/>
          <w:szCs w:val="22"/>
        </w:rPr>
        <w:t>.</w:t>
      </w:r>
      <w:r w:rsidR="0097605D">
        <w:rPr>
          <w:rFonts w:cs="Tahoma"/>
          <w:szCs w:val="22"/>
        </w:rPr>
        <w:t xml:space="preserve"> </w:t>
      </w:r>
    </w:p>
    <w:p w:rsidR="00F36180" w:rsidRDefault="00E45B16" w:rsidP="00F36180">
      <w:pPr>
        <w:spacing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Składając </w:t>
      </w:r>
      <w:r w:rsidR="00A23C19" w:rsidRPr="00A23C19">
        <w:rPr>
          <w:rFonts w:cs="Tahoma"/>
          <w:szCs w:val="22"/>
        </w:rPr>
        <w:t>wniosek o dofinansowanie podnoszenia kompetencji cyfrowych</w:t>
      </w:r>
      <w:r>
        <w:rPr>
          <w:rFonts w:cs="Tahoma"/>
          <w:szCs w:val="22"/>
        </w:rPr>
        <w:t xml:space="preserve"> w</w:t>
      </w:r>
      <w:r w:rsidR="00802BF7">
        <w:rPr>
          <w:rFonts w:cs="Tahoma"/>
          <w:szCs w:val="22"/>
        </w:rPr>
        <w:t xml:space="preserve">nioskodawca w </w:t>
      </w:r>
      <w:r w:rsidR="00A23C19" w:rsidRPr="00A23C19">
        <w:rPr>
          <w:rFonts w:cs="Tahoma"/>
          <w:szCs w:val="22"/>
        </w:rPr>
        <w:t>uzasadnieniu powinien wykazać, że posiadanie konkretnych umiejętności</w:t>
      </w:r>
      <w:r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cyfrowych, które objęte są tematyką wnioskowanego szkolenia, jest powiązane z pracą</w:t>
      </w:r>
      <w:r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wykonywaną przez osobę kierowaną na szkolenie.</w:t>
      </w:r>
      <w:r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Kompetencje cyfrowe obejmują również zagadnienia związane z komunikowaniem się,</w:t>
      </w:r>
      <w:r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umiejętnościami korzystania z mediów, umiejętnościami wyszukiwania i korzystania</w:t>
      </w:r>
      <w:r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 xml:space="preserve">z różnego typu danych w formie elektronicznej czy </w:t>
      </w:r>
      <w:proofErr w:type="spellStart"/>
      <w:r w:rsidR="00A23C19" w:rsidRPr="00A23C19">
        <w:rPr>
          <w:rFonts w:cs="Tahoma"/>
          <w:szCs w:val="22"/>
        </w:rPr>
        <w:t>cyberbezpieczeństwem</w:t>
      </w:r>
      <w:proofErr w:type="spellEnd"/>
      <w:r w:rsidR="00A23C19" w:rsidRPr="00A23C19">
        <w:rPr>
          <w:rFonts w:cs="Tahoma"/>
          <w:szCs w:val="22"/>
        </w:rPr>
        <w:t>.</w:t>
      </w:r>
    </w:p>
    <w:p w:rsidR="00E45B16" w:rsidRPr="00F36180" w:rsidRDefault="00A23C19" w:rsidP="00F36180">
      <w:pPr>
        <w:spacing w:line="240" w:lineRule="auto"/>
        <w:rPr>
          <w:rFonts w:cs="Tahoma"/>
          <w:szCs w:val="22"/>
        </w:rPr>
      </w:pPr>
      <w:r w:rsidRPr="00A23C19">
        <w:rPr>
          <w:rFonts w:cs="Tahoma"/>
          <w:b/>
          <w:szCs w:val="22"/>
        </w:rPr>
        <w:t xml:space="preserve">Wsparcie kształcenia ustawicznego osób młodych do </w:t>
      </w:r>
      <w:r w:rsidR="00051492">
        <w:rPr>
          <w:rFonts w:cs="Tahoma"/>
          <w:b/>
          <w:szCs w:val="22"/>
        </w:rPr>
        <w:t xml:space="preserve">30 r.ż. w zakresie umiejętności </w:t>
      </w:r>
      <w:r w:rsidRPr="00A23C19">
        <w:rPr>
          <w:rFonts w:cs="Tahoma"/>
          <w:b/>
          <w:szCs w:val="22"/>
        </w:rPr>
        <w:t>związanych z branżą energetyczną i gospodarką odpadami</w:t>
      </w:r>
      <w:r w:rsidR="0097605D">
        <w:rPr>
          <w:rFonts w:cs="Tahoma"/>
          <w:b/>
          <w:szCs w:val="22"/>
        </w:rPr>
        <w:t>.</w:t>
      </w:r>
    </w:p>
    <w:p w:rsidR="00E45B16" w:rsidRPr="00E45B16" w:rsidRDefault="00A23C19" w:rsidP="00E45B16">
      <w:pPr>
        <w:spacing w:before="120" w:line="240" w:lineRule="auto"/>
        <w:rPr>
          <w:rFonts w:cs="Tahoma"/>
          <w:b/>
          <w:szCs w:val="22"/>
        </w:rPr>
      </w:pPr>
      <w:r w:rsidRPr="00A23C19">
        <w:rPr>
          <w:rFonts w:cs="Tahoma"/>
          <w:szCs w:val="22"/>
        </w:rPr>
        <w:t>Wsparcie w ramach priorytetu mogą otrzymać pracodawcy i pracownicy zatrudnieni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firmach z szeroko rozumianej branży energetycznej i gospodarki odpadami.</w:t>
      </w:r>
    </w:p>
    <w:p w:rsidR="00E45B16" w:rsidRDefault="00A23C19" w:rsidP="00802BF7">
      <w:pPr>
        <w:spacing w:after="0"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 xml:space="preserve">O przynależności do ww. branż decydować będzie </w:t>
      </w:r>
      <w:proofErr w:type="gramStart"/>
      <w:r w:rsidRPr="00A23C19">
        <w:rPr>
          <w:rFonts w:cs="Tahoma"/>
          <w:szCs w:val="22"/>
        </w:rPr>
        <w:t>posiadanie jako</w:t>
      </w:r>
      <w:proofErr w:type="gramEnd"/>
      <w:r w:rsidRPr="00A23C19">
        <w:rPr>
          <w:rFonts w:cs="Tahoma"/>
          <w:szCs w:val="22"/>
        </w:rPr>
        <w:t xml:space="preserve"> przeważającego (według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stanu na 1 stycznia 2023 roku) jednego z poniższych kodów PKD:</w:t>
      </w:r>
    </w:p>
    <w:p w:rsidR="00802BF7" w:rsidRDefault="00A23C19" w:rsidP="0097605D">
      <w:pPr>
        <w:spacing w:line="240" w:lineRule="auto"/>
        <w:contextualSpacing/>
        <w:rPr>
          <w:rFonts w:cs="Tahoma"/>
          <w:szCs w:val="22"/>
        </w:rPr>
      </w:pPr>
      <w:r w:rsidRPr="00A23C19">
        <w:rPr>
          <w:rFonts w:cs="Tahoma"/>
          <w:szCs w:val="22"/>
        </w:rPr>
        <w:t>PKD 06.20.Z - Górnictwo gazu ziemnego</w:t>
      </w:r>
      <w:r w:rsidRPr="00A23C19">
        <w:rPr>
          <w:rFonts w:cs="Tahoma"/>
          <w:szCs w:val="22"/>
        </w:rPr>
        <w:br/>
        <w:t>PKD 24.46.Z - Wytwarzanie paliw jądrowych</w:t>
      </w:r>
      <w:r w:rsidRPr="00A23C19">
        <w:rPr>
          <w:rFonts w:cs="Tahoma"/>
          <w:szCs w:val="22"/>
        </w:rPr>
        <w:br/>
        <w:t>PKD 25.21.Z - Produkcja grzejników i kotłów centralnego ogrzewania</w:t>
      </w:r>
      <w:r w:rsidRPr="00A23C19">
        <w:rPr>
          <w:rFonts w:cs="Tahoma"/>
          <w:szCs w:val="22"/>
        </w:rPr>
        <w:br/>
        <w:t>PKD 27.12.Z - Produkcja aparatury rozdzielczej i sterowniczej energii elektrycznej</w:t>
      </w:r>
      <w:r w:rsidRPr="00A23C19">
        <w:rPr>
          <w:rFonts w:cs="Tahoma"/>
          <w:szCs w:val="22"/>
        </w:rPr>
        <w:br/>
        <w:t>PKD 27.11.Z - Produkcja elektrycznych silników, prądnic i transformatorów</w:t>
      </w:r>
      <w:r w:rsidRPr="00A23C19">
        <w:rPr>
          <w:rFonts w:cs="Tahoma"/>
          <w:szCs w:val="22"/>
        </w:rPr>
        <w:br/>
        <w:t>PKD 27.20.Z - Produkcja baterii i akumulatorów</w:t>
      </w:r>
      <w:r w:rsidRPr="00A23C19">
        <w:rPr>
          <w:rFonts w:cs="Tahoma"/>
          <w:szCs w:val="22"/>
        </w:rPr>
        <w:br/>
        <w:t>PKD 27.31.Z - Produkcja kabli światłowodowych</w:t>
      </w:r>
      <w:r w:rsidRPr="00A23C19">
        <w:rPr>
          <w:rFonts w:cs="Tahoma"/>
          <w:szCs w:val="22"/>
        </w:rPr>
        <w:br/>
        <w:t>PKD 27.32.Z - Produkcja pozostałych elektronicznych i elektrycznych przewodów i kabli</w:t>
      </w:r>
      <w:r w:rsidRPr="00A23C19">
        <w:rPr>
          <w:rFonts w:cs="Tahoma"/>
          <w:szCs w:val="22"/>
        </w:rPr>
        <w:br/>
        <w:t>PKD 27.33.Z - Produkcja sprzętu instalacyjnego</w:t>
      </w:r>
      <w:r w:rsidRPr="00A23C19">
        <w:rPr>
          <w:rFonts w:cs="Tahoma"/>
          <w:szCs w:val="22"/>
        </w:rPr>
        <w:br/>
        <w:t>PKD 27.40.Z - Produkcja elektrycznego sprzętu oświetleniowego</w:t>
      </w:r>
      <w:r w:rsidRPr="007A4236">
        <w:rPr>
          <w:rFonts w:cs="Tahoma"/>
          <w:szCs w:val="22"/>
        </w:rPr>
        <w:br/>
        <w:t>PKD 27.51.Z - Produkcja elektrycznego sprzętu gospodarstwa domowego</w:t>
      </w:r>
      <w:r w:rsidRPr="007A4236">
        <w:rPr>
          <w:rFonts w:cs="Tahoma"/>
          <w:szCs w:val="22"/>
        </w:rPr>
        <w:br/>
        <w:t>PKD 27.90.Z - Produkcja pozostałego sprzętu elektrycznego</w:t>
      </w:r>
      <w:r w:rsidRPr="007A4236">
        <w:rPr>
          <w:rFonts w:cs="Tahoma"/>
          <w:szCs w:val="22"/>
        </w:rPr>
        <w:br/>
        <w:t>PKD 28.11.Z - Produkcja silników i turbin, z wyłączeniem silników lotniczych,</w:t>
      </w:r>
      <w:r w:rsidR="00E45B1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samochodowych i motocyklowych</w:t>
      </w:r>
      <w:r w:rsidRPr="007A4236">
        <w:rPr>
          <w:rFonts w:cs="Tahoma"/>
          <w:szCs w:val="22"/>
        </w:rPr>
        <w:br/>
        <w:t>PKD 28.12.Z - Produkcja sprzętu i wyposażenia do napędu hydraulicznego i pneumatycznego</w:t>
      </w:r>
      <w:r w:rsidRPr="007A4236">
        <w:rPr>
          <w:rFonts w:cs="Tahoma"/>
          <w:szCs w:val="22"/>
        </w:rPr>
        <w:br/>
        <w:t>PKD 28.21.Z - Produkcja pieców, palenisk i palników piecowych</w:t>
      </w:r>
      <w:r w:rsidRPr="007A4236">
        <w:rPr>
          <w:rFonts w:cs="Tahoma"/>
          <w:szCs w:val="22"/>
        </w:rPr>
        <w:br/>
        <w:t>PKD 28.25.Z - Produkcja przemysłowych urządzeń chłodniczych i wentylacyjnych</w:t>
      </w:r>
      <w:r w:rsidRPr="007A4236">
        <w:rPr>
          <w:rFonts w:cs="Tahoma"/>
          <w:szCs w:val="22"/>
        </w:rPr>
        <w:br/>
        <w:t>PKD 29.31.Z - Produkcja wyposażenia elektrycznego i elektronicznego do pojazdów</w:t>
      </w:r>
      <w:r w:rsidR="00051492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silnikowych</w:t>
      </w:r>
      <w:r w:rsidRPr="007A4236">
        <w:rPr>
          <w:rFonts w:cs="Tahoma"/>
          <w:szCs w:val="22"/>
        </w:rPr>
        <w:br/>
        <w:t>PKD 35.11.Z - Wytwarzanie energii elektrycznej</w:t>
      </w:r>
      <w:r w:rsidRPr="007A4236">
        <w:rPr>
          <w:rFonts w:cs="Tahoma"/>
          <w:szCs w:val="22"/>
        </w:rPr>
        <w:br/>
        <w:t>PKD 35.12.Z - Przesyłanie energii elektrycznej</w:t>
      </w:r>
      <w:r w:rsidRPr="007A4236">
        <w:rPr>
          <w:rFonts w:cs="Tahoma"/>
          <w:szCs w:val="22"/>
        </w:rPr>
        <w:br/>
        <w:t>PKD 35.13.Z - Dystrybucja energii elektrycznej</w:t>
      </w:r>
      <w:r w:rsidRPr="007A4236">
        <w:rPr>
          <w:rFonts w:cs="Tahoma"/>
          <w:szCs w:val="22"/>
        </w:rPr>
        <w:br/>
        <w:t>PKD 35.14.Z - Handel energią elektryczną</w:t>
      </w:r>
      <w:r w:rsidRPr="007A4236">
        <w:rPr>
          <w:rFonts w:cs="Tahoma"/>
          <w:szCs w:val="22"/>
        </w:rPr>
        <w:br/>
        <w:t>PKD 35.21.Z - Wytwarzanie paliw gazowych</w:t>
      </w:r>
      <w:r w:rsidRPr="007A4236">
        <w:rPr>
          <w:rFonts w:cs="Tahoma"/>
          <w:szCs w:val="22"/>
        </w:rPr>
        <w:br/>
        <w:t>PKD 35.22.Z - Dystrybucja paliw gazowych w systemie sieciowym</w:t>
      </w:r>
      <w:r w:rsidRPr="007A4236">
        <w:rPr>
          <w:rFonts w:cs="Tahoma"/>
          <w:szCs w:val="22"/>
        </w:rPr>
        <w:br/>
        <w:t>PKD 35.23.Z - Handel paliwami gazowymi w systemie sieciowym</w:t>
      </w:r>
      <w:r w:rsidRPr="007A4236">
        <w:rPr>
          <w:rFonts w:cs="Tahoma"/>
          <w:szCs w:val="22"/>
        </w:rPr>
        <w:br/>
        <w:t>PKD 35.30.Z - Wytwarzanie i zaopatrywanie w parę wodną, gorącą wodę i powietrze do</w:t>
      </w:r>
      <w:r w:rsidR="00E45B1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układów klimatyzacyjnych</w:t>
      </w:r>
      <w:r w:rsidRPr="007A4236">
        <w:rPr>
          <w:rFonts w:cs="Tahoma"/>
          <w:szCs w:val="22"/>
        </w:rPr>
        <w:br/>
        <w:t>PKD 38.11.Z - Zbieranie odpadów innych niż niebezpieczne</w:t>
      </w:r>
      <w:r w:rsidRPr="007A4236">
        <w:rPr>
          <w:rFonts w:cs="Tahoma"/>
          <w:szCs w:val="22"/>
        </w:rPr>
        <w:br/>
        <w:t>PKD 38.12.Z - Zbieranie odpadów niebezpiecznych</w:t>
      </w:r>
      <w:r w:rsidRPr="007A4236">
        <w:rPr>
          <w:rFonts w:cs="Tahoma"/>
          <w:szCs w:val="22"/>
        </w:rPr>
        <w:br/>
        <w:t>PKD 38.21.Z - Obróbka i usuwanie odpadów innych niż niebezpieczne</w:t>
      </w:r>
      <w:r w:rsidRPr="007A4236">
        <w:rPr>
          <w:rFonts w:cs="Tahoma"/>
          <w:szCs w:val="22"/>
        </w:rPr>
        <w:br/>
        <w:t>PKD 38.22.Z - Przetwarzanie i unieszkodliwianie odpadów niebezpiecznych</w:t>
      </w:r>
      <w:r w:rsidRPr="007A4236">
        <w:rPr>
          <w:rFonts w:cs="Tahoma"/>
          <w:szCs w:val="22"/>
        </w:rPr>
        <w:br/>
        <w:t>PKD 38.31.Z - Demontaż wyrobów zużytych</w:t>
      </w:r>
      <w:r w:rsidRPr="007A4236">
        <w:rPr>
          <w:rFonts w:cs="Tahoma"/>
          <w:szCs w:val="22"/>
        </w:rPr>
        <w:br/>
        <w:t>PKD 38.32.Z - Odzysk surowców z materiałów segregowanych</w:t>
      </w:r>
      <w:r w:rsidRPr="007A4236">
        <w:rPr>
          <w:rFonts w:cs="Tahoma"/>
          <w:szCs w:val="22"/>
        </w:rPr>
        <w:br/>
        <w:t>PKD 42.21.Z - Roboty związane z budową rurociągów przesyłowych i sieci rozdzielczych</w:t>
      </w:r>
      <w:r w:rsidRPr="007A4236">
        <w:rPr>
          <w:rFonts w:cs="Tahoma"/>
          <w:szCs w:val="22"/>
        </w:rPr>
        <w:br/>
        <w:t>PKD 42.22.Z - Roboty związane z budową linii telekomunikacyjnych i elektroenergetycznych</w:t>
      </w:r>
      <w:r w:rsidRPr="007A4236">
        <w:rPr>
          <w:rFonts w:cs="Tahoma"/>
          <w:szCs w:val="22"/>
        </w:rPr>
        <w:br/>
        <w:t>PKD 43.21.Z - Wykonywanie instalacji elektrycznych</w:t>
      </w:r>
      <w:r w:rsidRPr="007A4236">
        <w:rPr>
          <w:rFonts w:cs="Tahoma"/>
          <w:szCs w:val="22"/>
        </w:rPr>
        <w:br/>
        <w:t>PKD 43.22.Z - Wykonywanie instalacji wodno-kanalizacyjnych, cieplnych, gazowych</w:t>
      </w:r>
      <w:r w:rsidR="00E45B16">
        <w:rPr>
          <w:rFonts w:cs="Tahoma"/>
          <w:szCs w:val="22"/>
        </w:rPr>
        <w:t xml:space="preserve"> i </w:t>
      </w:r>
      <w:r w:rsidRPr="007A4236">
        <w:rPr>
          <w:rFonts w:cs="Tahoma"/>
          <w:szCs w:val="22"/>
        </w:rPr>
        <w:t>klimatyzacyjnych</w:t>
      </w:r>
      <w:r w:rsidRPr="007A4236">
        <w:rPr>
          <w:rFonts w:cs="Tahoma"/>
          <w:szCs w:val="22"/>
        </w:rPr>
        <w:br/>
      </w:r>
      <w:r w:rsidRPr="007A4236">
        <w:rPr>
          <w:rFonts w:cs="Tahoma"/>
          <w:szCs w:val="22"/>
        </w:rPr>
        <w:lastRenderedPageBreak/>
        <w:t>PKD 49.50.A - Transport rurociągami paliw gazowych</w:t>
      </w:r>
      <w:r w:rsidRPr="007A4236">
        <w:rPr>
          <w:rFonts w:cs="Tahoma"/>
          <w:szCs w:val="22"/>
        </w:rPr>
        <w:br/>
        <w:t>PKD 52.10.A - Magazynowanie i przechowywanie paliw gazowych</w:t>
      </w:r>
      <w:r w:rsidRPr="007A4236">
        <w:rPr>
          <w:rFonts w:cs="Tahoma"/>
          <w:szCs w:val="22"/>
        </w:rPr>
        <w:br/>
      </w:r>
    </w:p>
    <w:p w:rsidR="00802BF7" w:rsidRDefault="00A23C19" w:rsidP="00802BF7">
      <w:pPr>
        <w:spacing w:line="240" w:lineRule="auto"/>
        <w:contextualSpacing/>
        <w:rPr>
          <w:rFonts w:cs="Tahoma"/>
          <w:szCs w:val="22"/>
        </w:rPr>
      </w:pPr>
      <w:r w:rsidRPr="007A4236">
        <w:rPr>
          <w:rFonts w:cs="Tahoma"/>
          <w:szCs w:val="22"/>
        </w:rPr>
        <w:t xml:space="preserve">Warunkiem dostępu do niniejszego priorytetu jest </w:t>
      </w:r>
      <w:proofErr w:type="gramStart"/>
      <w:r w:rsidRPr="007A4236">
        <w:rPr>
          <w:rFonts w:cs="Tahoma"/>
          <w:szCs w:val="22"/>
        </w:rPr>
        <w:t>posiadanie jako</w:t>
      </w:r>
      <w:proofErr w:type="gramEnd"/>
      <w:r w:rsidRPr="007A4236">
        <w:rPr>
          <w:rFonts w:cs="Tahoma"/>
          <w:szCs w:val="22"/>
        </w:rPr>
        <w:t xml:space="preserve"> przeważającego (według</w:t>
      </w:r>
      <w:r w:rsidR="00E45B1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stanu na 1 stycznia 2023 roku) odpowiedniego kodu PKD oraz zawarte we wniosku</w:t>
      </w:r>
      <w:r w:rsidR="00E45B16">
        <w:rPr>
          <w:rFonts w:cs="Tahoma"/>
          <w:szCs w:val="22"/>
        </w:rPr>
        <w:t xml:space="preserve"> o dofinansowanie </w:t>
      </w:r>
      <w:r w:rsidRPr="007A4236">
        <w:rPr>
          <w:rFonts w:cs="Tahoma"/>
          <w:szCs w:val="22"/>
        </w:rPr>
        <w:t>wiarygodne uzasadnienie konieczności nabycia nowych umiejętności, w</w:t>
      </w:r>
      <w:r w:rsidR="00E45B1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tym poprzez wykazanie bezpośredniego związku danego stanowiska pracy z branżą</w:t>
      </w:r>
      <w:r w:rsidR="00E45B1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energetyczną i gospodarką odpadami.</w:t>
      </w:r>
    </w:p>
    <w:p w:rsidR="00802BF7" w:rsidRDefault="00802BF7" w:rsidP="00802BF7">
      <w:pPr>
        <w:spacing w:line="240" w:lineRule="auto"/>
        <w:contextualSpacing/>
        <w:rPr>
          <w:rFonts w:cs="Tahoma"/>
          <w:szCs w:val="22"/>
        </w:rPr>
      </w:pPr>
    </w:p>
    <w:p w:rsidR="00675F2D" w:rsidRPr="007A4236" w:rsidRDefault="00A23C19" w:rsidP="00802BF7">
      <w:pPr>
        <w:spacing w:line="240" w:lineRule="auto"/>
        <w:contextualSpacing/>
        <w:rPr>
          <w:rFonts w:cs="Tahoma"/>
          <w:szCs w:val="22"/>
        </w:rPr>
      </w:pPr>
      <w:r w:rsidRPr="0097605D">
        <w:rPr>
          <w:rFonts w:cs="Tahoma"/>
          <w:b/>
          <w:szCs w:val="22"/>
        </w:rPr>
        <w:t>Uwaga:</w:t>
      </w:r>
      <w:r w:rsidRPr="007A4236">
        <w:rPr>
          <w:rFonts w:cs="Tahoma"/>
          <w:szCs w:val="22"/>
        </w:rPr>
        <w:t xml:space="preserve"> Warunki – szkolenie z zakresu umiejętności cyfrowych oraz posiadanie, jako</w:t>
      </w:r>
      <w:r w:rsidR="00100ADD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przeważającego, jednego z wymienionych powyżej kodów PKD - nie muszą być spełniane</w:t>
      </w:r>
      <w:r w:rsidR="00E45B16"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 xml:space="preserve">łącznie. </w:t>
      </w:r>
      <w:r w:rsidRPr="00051492">
        <w:rPr>
          <w:rFonts w:cs="Tahoma"/>
          <w:b/>
          <w:szCs w:val="22"/>
        </w:rPr>
        <w:t>Priorytet dotyczy wyłącznie osób młodych do 30 r.</w:t>
      </w:r>
      <w:r w:rsidR="00051492" w:rsidRPr="00051492">
        <w:rPr>
          <w:rFonts w:cs="Tahoma"/>
          <w:b/>
          <w:szCs w:val="22"/>
        </w:rPr>
        <w:t xml:space="preserve"> </w:t>
      </w:r>
      <w:r w:rsidRPr="00051492">
        <w:rPr>
          <w:rFonts w:cs="Tahoma"/>
          <w:b/>
          <w:szCs w:val="22"/>
        </w:rPr>
        <w:t>ż.</w:t>
      </w:r>
    </w:p>
    <w:sectPr w:rsidR="00675F2D" w:rsidRPr="007A4236" w:rsidSect="00903F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830226"/>
    <w:multiLevelType w:val="hybridMultilevel"/>
    <w:tmpl w:val="57DC2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36FBA"/>
    <w:multiLevelType w:val="hybridMultilevel"/>
    <w:tmpl w:val="CEC4E992"/>
    <w:lvl w:ilvl="0" w:tplc="1FEE635E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19"/>
    <w:rsid w:val="00044E0B"/>
    <w:rsid w:val="00051492"/>
    <w:rsid w:val="00070D76"/>
    <w:rsid w:val="000C3867"/>
    <w:rsid w:val="00100ADD"/>
    <w:rsid w:val="001075B0"/>
    <w:rsid w:val="00152BCC"/>
    <w:rsid w:val="0019422F"/>
    <w:rsid w:val="003345CF"/>
    <w:rsid w:val="00385787"/>
    <w:rsid w:val="00386CC3"/>
    <w:rsid w:val="00476583"/>
    <w:rsid w:val="004D2456"/>
    <w:rsid w:val="004F6B77"/>
    <w:rsid w:val="005D6A51"/>
    <w:rsid w:val="00665BBC"/>
    <w:rsid w:val="00675F2D"/>
    <w:rsid w:val="00685669"/>
    <w:rsid w:val="006946C8"/>
    <w:rsid w:val="006A1219"/>
    <w:rsid w:val="006F0A75"/>
    <w:rsid w:val="006F62AB"/>
    <w:rsid w:val="007A4236"/>
    <w:rsid w:val="00802BF7"/>
    <w:rsid w:val="008040CA"/>
    <w:rsid w:val="00865086"/>
    <w:rsid w:val="00870DFA"/>
    <w:rsid w:val="008C2A9A"/>
    <w:rsid w:val="00903FB2"/>
    <w:rsid w:val="00942F37"/>
    <w:rsid w:val="0097605D"/>
    <w:rsid w:val="009D0F1B"/>
    <w:rsid w:val="009D759F"/>
    <w:rsid w:val="00A10837"/>
    <w:rsid w:val="00A14FA2"/>
    <w:rsid w:val="00A2361A"/>
    <w:rsid w:val="00A23C19"/>
    <w:rsid w:val="00A77C0A"/>
    <w:rsid w:val="00AA2B1C"/>
    <w:rsid w:val="00AA642E"/>
    <w:rsid w:val="00B14CDC"/>
    <w:rsid w:val="00C34BF5"/>
    <w:rsid w:val="00C6332F"/>
    <w:rsid w:val="00C92476"/>
    <w:rsid w:val="00CE6678"/>
    <w:rsid w:val="00D00746"/>
    <w:rsid w:val="00D4187E"/>
    <w:rsid w:val="00D46F24"/>
    <w:rsid w:val="00DB6F27"/>
    <w:rsid w:val="00E45B16"/>
    <w:rsid w:val="00E74B72"/>
    <w:rsid w:val="00E97169"/>
    <w:rsid w:val="00F30BC5"/>
    <w:rsid w:val="00F36180"/>
    <w:rsid w:val="00FC0AC3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3EA8-FA61-486A-BD44-319834C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BBC"/>
    <w:pPr>
      <w:spacing w:after="120" w:line="360" w:lineRule="auto"/>
    </w:pPr>
    <w:rPr>
      <w:rFonts w:ascii="Tahoma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45CF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AA2B1C"/>
    <w:pPr>
      <w:keepNext/>
      <w:keepLines/>
      <w:tabs>
        <w:tab w:val="num" w:pos="0"/>
      </w:tabs>
      <w:outlineLvl w:val="1"/>
    </w:pPr>
    <w:rPr>
      <w:rFonts w:cs="Cambria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5787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5CF"/>
    <w:rPr>
      <w:rFonts w:ascii="Tahoma" w:eastAsiaTheme="majorEastAsia" w:hAnsi="Tahom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2B1C"/>
    <w:rPr>
      <w:rFonts w:ascii="Tahoma" w:hAnsi="Tahoma" w:cs="Cambria"/>
      <w:b/>
      <w:sz w:val="28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85787"/>
    <w:rPr>
      <w:rFonts w:ascii="Tahoma" w:eastAsiaTheme="majorEastAsia" w:hAnsi="Tahoma" w:cstheme="majorBidi"/>
      <w:b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A423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E6678"/>
    <w:rPr>
      <w:rFonts w:ascii="Tahoma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Polner</dc:creator>
  <cp:keywords/>
  <dc:description/>
  <cp:lastModifiedBy>Izabela Polner</cp:lastModifiedBy>
  <cp:revision>41</cp:revision>
  <dcterms:created xsi:type="dcterms:W3CDTF">2023-01-16T11:25:00Z</dcterms:created>
  <dcterms:modified xsi:type="dcterms:W3CDTF">2023-02-03T09:01:00Z</dcterms:modified>
</cp:coreProperties>
</file>