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1F" w:rsidRPr="0030304C" w:rsidRDefault="009F0B20" w:rsidP="00BB1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4C">
        <w:rPr>
          <w:rFonts w:ascii="Times New Roman" w:hAnsi="Times New Roman" w:cs="Times New Roman"/>
          <w:b/>
          <w:sz w:val="28"/>
          <w:szCs w:val="28"/>
        </w:rPr>
        <w:t>Zasady przyznawania</w:t>
      </w:r>
      <w:r w:rsidR="009D6F78" w:rsidRPr="0030304C">
        <w:rPr>
          <w:rFonts w:ascii="Times New Roman" w:hAnsi="Times New Roman" w:cs="Times New Roman"/>
          <w:b/>
          <w:sz w:val="28"/>
          <w:szCs w:val="28"/>
        </w:rPr>
        <w:t xml:space="preserve"> jednorazowo</w:t>
      </w:r>
      <w:r w:rsidRPr="0030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E9" w:rsidRPr="0030304C">
        <w:rPr>
          <w:rFonts w:ascii="Times New Roman" w:hAnsi="Times New Roman" w:cs="Times New Roman"/>
          <w:b/>
          <w:sz w:val="28"/>
          <w:szCs w:val="28"/>
        </w:rPr>
        <w:t>ś</w:t>
      </w:r>
      <w:r w:rsidR="0030304C">
        <w:rPr>
          <w:rFonts w:ascii="Times New Roman" w:hAnsi="Times New Roman" w:cs="Times New Roman"/>
          <w:b/>
          <w:sz w:val="28"/>
          <w:szCs w:val="28"/>
        </w:rPr>
        <w:t xml:space="preserve">rodków na podjęcie działalności </w:t>
      </w:r>
      <w:r w:rsidR="00E32EE9" w:rsidRPr="0030304C">
        <w:rPr>
          <w:rFonts w:ascii="Times New Roman" w:hAnsi="Times New Roman" w:cs="Times New Roman"/>
          <w:b/>
          <w:sz w:val="28"/>
          <w:szCs w:val="28"/>
        </w:rPr>
        <w:t>gospodarczej</w:t>
      </w:r>
      <w:r w:rsidR="0030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04F">
        <w:rPr>
          <w:rFonts w:ascii="Times New Roman" w:hAnsi="Times New Roman" w:cs="Times New Roman"/>
          <w:b/>
          <w:sz w:val="28"/>
          <w:szCs w:val="28"/>
        </w:rPr>
        <w:t>oraz tryb składania wniosków w 201</w:t>
      </w:r>
      <w:r w:rsidR="00FF0C67">
        <w:rPr>
          <w:rFonts w:ascii="Times New Roman" w:hAnsi="Times New Roman" w:cs="Times New Roman"/>
          <w:b/>
          <w:sz w:val="28"/>
          <w:szCs w:val="28"/>
        </w:rPr>
        <w:t>9</w:t>
      </w:r>
      <w:r w:rsidR="004D604F">
        <w:rPr>
          <w:rFonts w:ascii="Times New Roman" w:hAnsi="Times New Roman" w:cs="Times New Roman"/>
          <w:b/>
          <w:sz w:val="28"/>
          <w:szCs w:val="28"/>
        </w:rPr>
        <w:t>r.</w:t>
      </w:r>
    </w:p>
    <w:p w:rsidR="007D5DEA" w:rsidRPr="003066CC" w:rsidRDefault="0030304C" w:rsidP="0030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04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D604F" w:rsidRDefault="004D604F" w:rsidP="004D604F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na podstawie </w:t>
      </w:r>
      <w:r w:rsidRPr="00657E64">
        <w:rPr>
          <w:rFonts w:ascii="Bookman Old Style" w:hAnsi="Bookman Old Style"/>
          <w:sz w:val="18"/>
          <w:szCs w:val="18"/>
        </w:rPr>
        <w:t xml:space="preserve">ustawy z 20 kwietnia 2004 roku o promocji zatrudnienia i instytucjach rynku pracy </w:t>
      </w:r>
      <w:r w:rsidR="00BF57CB">
        <w:rPr>
          <w:rFonts w:ascii="Bookman Old Style" w:hAnsi="Bookman Old Style"/>
          <w:sz w:val="18"/>
          <w:szCs w:val="18"/>
        </w:rPr>
        <w:br/>
      </w:r>
      <w:r w:rsidRPr="00657E64">
        <w:rPr>
          <w:rFonts w:ascii="Bookman Old Style" w:hAnsi="Bookman Old Style"/>
          <w:sz w:val="18"/>
          <w:szCs w:val="18"/>
        </w:rPr>
        <w:t>(Dz. U. z 201</w:t>
      </w:r>
      <w:r w:rsidR="00C30111">
        <w:rPr>
          <w:rFonts w:ascii="Bookman Old Style" w:hAnsi="Bookman Old Style"/>
          <w:sz w:val="18"/>
          <w:szCs w:val="18"/>
        </w:rPr>
        <w:t>8</w:t>
      </w:r>
      <w:r w:rsidRPr="00657E64">
        <w:rPr>
          <w:rFonts w:ascii="Bookman Old Style" w:hAnsi="Bookman Old Style"/>
          <w:sz w:val="18"/>
          <w:szCs w:val="18"/>
        </w:rPr>
        <w:t xml:space="preserve"> roku poz. </w:t>
      </w:r>
      <w:r w:rsidR="00145C7D">
        <w:rPr>
          <w:rFonts w:ascii="Bookman Old Style" w:hAnsi="Bookman Old Style"/>
          <w:sz w:val="18"/>
          <w:szCs w:val="18"/>
        </w:rPr>
        <w:t>1</w:t>
      </w:r>
      <w:r w:rsidR="00C30111">
        <w:rPr>
          <w:rFonts w:ascii="Bookman Old Style" w:hAnsi="Bookman Old Style"/>
          <w:sz w:val="18"/>
          <w:szCs w:val="18"/>
        </w:rPr>
        <w:t>2</w:t>
      </w:r>
      <w:r w:rsidR="00145C7D">
        <w:rPr>
          <w:rFonts w:ascii="Bookman Old Style" w:hAnsi="Bookman Old Style"/>
          <w:sz w:val="18"/>
          <w:szCs w:val="18"/>
        </w:rPr>
        <w:t>65</w:t>
      </w:r>
      <w:r w:rsidRPr="00657E64">
        <w:rPr>
          <w:rFonts w:ascii="Bookman Old Style" w:hAnsi="Bookman Old Style"/>
          <w:sz w:val="18"/>
          <w:szCs w:val="18"/>
        </w:rPr>
        <w:t xml:space="preserve"> z późn. zm.) oraz  rozporządzenia Ministra</w:t>
      </w:r>
      <w:r w:rsidR="007E23C9">
        <w:rPr>
          <w:rFonts w:ascii="Bookman Old Style" w:hAnsi="Bookman Old Style"/>
          <w:sz w:val="18"/>
          <w:szCs w:val="18"/>
        </w:rPr>
        <w:t xml:space="preserve"> Rodziny,</w:t>
      </w:r>
      <w:r w:rsidRPr="00657E64">
        <w:rPr>
          <w:rFonts w:ascii="Bookman Old Style" w:hAnsi="Bookman Old Style"/>
          <w:sz w:val="18"/>
          <w:szCs w:val="18"/>
        </w:rPr>
        <w:t xml:space="preserve"> Pracy i Polityki Społecznej z dnia </w:t>
      </w:r>
      <w:r w:rsidR="007E23C9">
        <w:rPr>
          <w:rFonts w:ascii="Bookman Old Style" w:hAnsi="Bookman Old Style"/>
          <w:sz w:val="18"/>
          <w:szCs w:val="18"/>
        </w:rPr>
        <w:t>14</w:t>
      </w:r>
      <w:r w:rsidRPr="00657E64">
        <w:rPr>
          <w:rFonts w:ascii="Bookman Old Style" w:hAnsi="Bookman Old Style"/>
          <w:sz w:val="18"/>
          <w:szCs w:val="18"/>
        </w:rPr>
        <w:t xml:space="preserve"> </w:t>
      </w:r>
      <w:r w:rsidR="007E23C9">
        <w:rPr>
          <w:rFonts w:ascii="Bookman Old Style" w:hAnsi="Bookman Old Style"/>
          <w:sz w:val="18"/>
          <w:szCs w:val="18"/>
        </w:rPr>
        <w:t>lipca</w:t>
      </w:r>
      <w:r w:rsidRPr="00657E64">
        <w:rPr>
          <w:rFonts w:ascii="Bookman Old Style" w:hAnsi="Bookman Old Style"/>
          <w:sz w:val="18"/>
          <w:szCs w:val="18"/>
        </w:rPr>
        <w:t xml:space="preserve"> 20</w:t>
      </w:r>
      <w:r w:rsidR="007E23C9">
        <w:rPr>
          <w:rFonts w:ascii="Bookman Old Style" w:hAnsi="Bookman Old Style"/>
          <w:sz w:val="18"/>
          <w:szCs w:val="18"/>
        </w:rPr>
        <w:t>17</w:t>
      </w:r>
      <w:r w:rsidRPr="00657E64">
        <w:rPr>
          <w:rFonts w:ascii="Bookman Old Style" w:hAnsi="Bookman Old Style"/>
          <w:sz w:val="18"/>
          <w:szCs w:val="18"/>
        </w:rPr>
        <w:t xml:space="preserve"> roku w sprawie dokonywania z Funduszu Pracy refundacji kosztów wyposażenia lub doposażenia stanowiska pracy dla skierowanego bezrobotnego oraz przyznawania środków na podjęcie działalności gospodarczej (Dz. U. z 201</w:t>
      </w:r>
      <w:r w:rsidR="00145C7D">
        <w:rPr>
          <w:rFonts w:ascii="Bookman Old Style" w:hAnsi="Bookman Old Style"/>
          <w:sz w:val="18"/>
          <w:szCs w:val="18"/>
        </w:rPr>
        <w:t>7</w:t>
      </w:r>
      <w:r w:rsidRPr="00657E64">
        <w:rPr>
          <w:rFonts w:ascii="Bookman Old Style" w:hAnsi="Bookman Old Style"/>
          <w:sz w:val="18"/>
          <w:szCs w:val="18"/>
        </w:rPr>
        <w:t xml:space="preserve"> r. poz. </w:t>
      </w:r>
      <w:r>
        <w:rPr>
          <w:rFonts w:ascii="Bookman Old Style" w:hAnsi="Bookman Old Style"/>
          <w:sz w:val="18"/>
          <w:szCs w:val="18"/>
        </w:rPr>
        <w:t>1</w:t>
      </w:r>
      <w:r w:rsidR="00145C7D">
        <w:rPr>
          <w:rFonts w:ascii="Bookman Old Style" w:hAnsi="Bookman Old Style"/>
          <w:sz w:val="18"/>
          <w:szCs w:val="18"/>
        </w:rPr>
        <w:t>380</w:t>
      </w:r>
      <w:r w:rsidRPr="00657E64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tekst jednolity).</w:t>
      </w:r>
    </w:p>
    <w:p w:rsidR="00340163" w:rsidRDefault="00340163" w:rsidP="004D604F">
      <w:pPr>
        <w:jc w:val="both"/>
        <w:rPr>
          <w:rFonts w:ascii="Bookman Old Style" w:hAnsi="Bookman Old Style"/>
          <w:sz w:val="18"/>
          <w:szCs w:val="18"/>
        </w:rPr>
      </w:pPr>
    </w:p>
    <w:p w:rsidR="00792946" w:rsidRPr="003066CC" w:rsidRDefault="003066CC" w:rsidP="001778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CC">
        <w:rPr>
          <w:rFonts w:ascii="Times New Roman" w:hAnsi="Times New Roman" w:cs="Times New Roman"/>
          <w:b/>
          <w:sz w:val="24"/>
          <w:szCs w:val="24"/>
        </w:rPr>
        <w:t>Postanowienia</w:t>
      </w:r>
      <w:r w:rsidR="00340163" w:rsidRPr="003066CC">
        <w:rPr>
          <w:rFonts w:ascii="Times New Roman" w:hAnsi="Times New Roman" w:cs="Times New Roman"/>
          <w:b/>
          <w:sz w:val="24"/>
          <w:szCs w:val="24"/>
        </w:rPr>
        <w:t xml:space="preserve"> ogólne </w:t>
      </w:r>
    </w:p>
    <w:p w:rsidR="00792946" w:rsidRDefault="00792946" w:rsidP="00BB11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1E3">
        <w:rPr>
          <w:rFonts w:ascii="Times New Roman" w:hAnsi="Times New Roman" w:cs="Times New Roman"/>
          <w:sz w:val="24"/>
          <w:szCs w:val="24"/>
        </w:rPr>
        <w:t xml:space="preserve">W pierwszej kolejności pozytywnie rozpatrywane będą wnioski składane przez </w:t>
      </w:r>
      <w:r w:rsidR="00BB11E3">
        <w:rPr>
          <w:rFonts w:ascii="Times New Roman" w:hAnsi="Times New Roman" w:cs="Times New Roman"/>
          <w:sz w:val="24"/>
          <w:szCs w:val="24"/>
        </w:rPr>
        <w:t>wnioskodawców</w:t>
      </w:r>
      <w:r w:rsidRPr="00BB11E3">
        <w:rPr>
          <w:rFonts w:ascii="Times New Roman" w:hAnsi="Times New Roman" w:cs="Times New Roman"/>
          <w:sz w:val="24"/>
          <w:szCs w:val="24"/>
        </w:rPr>
        <w:t>, dla których Urząd jest właściwy ze względu ma miejsce zarejestrowania.</w:t>
      </w:r>
    </w:p>
    <w:p w:rsidR="003066CC" w:rsidRPr="006D6E5B" w:rsidRDefault="003066CC" w:rsidP="00306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997" w:rsidRPr="003066CC" w:rsidRDefault="00E97997" w:rsidP="001778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CC">
        <w:rPr>
          <w:rFonts w:ascii="Times New Roman" w:hAnsi="Times New Roman" w:cs="Times New Roman"/>
          <w:b/>
          <w:sz w:val="24"/>
          <w:szCs w:val="24"/>
        </w:rPr>
        <w:t>Tryb skł</w:t>
      </w:r>
      <w:r w:rsidR="003066CC">
        <w:rPr>
          <w:rFonts w:ascii="Times New Roman" w:hAnsi="Times New Roman" w:cs="Times New Roman"/>
          <w:b/>
          <w:sz w:val="24"/>
          <w:szCs w:val="24"/>
        </w:rPr>
        <w:t>adania i rozpatrywania wniosków</w:t>
      </w:r>
    </w:p>
    <w:p w:rsidR="003066CC" w:rsidRDefault="008A72A5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Dyrektor ogłasza nabór wniosków dla osób bezrobotnych</w:t>
      </w:r>
      <w:r w:rsidR="005C0908">
        <w:rPr>
          <w:rFonts w:ascii="Times New Roman" w:hAnsi="Times New Roman" w:cs="Times New Roman"/>
          <w:sz w:val="24"/>
          <w:szCs w:val="24"/>
        </w:rPr>
        <w:t>, absolwentów Centrum Integracji Społecznej (CIS), absolwentów Klubów Integracji Społecznej (KIS), poszukujących pracy opiekunów osoby niepe</w:t>
      </w:r>
      <w:r w:rsidR="00060511">
        <w:rPr>
          <w:rFonts w:ascii="Times New Roman" w:hAnsi="Times New Roman" w:cs="Times New Roman"/>
          <w:sz w:val="24"/>
          <w:szCs w:val="24"/>
        </w:rPr>
        <w:t>ł</w:t>
      </w:r>
      <w:r w:rsidR="005C0908">
        <w:rPr>
          <w:rFonts w:ascii="Times New Roman" w:hAnsi="Times New Roman" w:cs="Times New Roman"/>
          <w:sz w:val="24"/>
          <w:szCs w:val="24"/>
        </w:rPr>
        <w:t>nosprawnej</w:t>
      </w:r>
      <w:r w:rsidRPr="003066CC">
        <w:rPr>
          <w:rFonts w:ascii="Times New Roman" w:hAnsi="Times New Roman" w:cs="Times New Roman"/>
          <w:sz w:val="24"/>
          <w:szCs w:val="24"/>
        </w:rPr>
        <w:t xml:space="preserve"> chcących otrzymać środki na rozpoczęcie własnej działalności gospodarczej.</w:t>
      </w:r>
    </w:p>
    <w:p w:rsidR="003066CC" w:rsidRDefault="003066CC" w:rsidP="003066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8A72A5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Nabór wniosków o przyznanie jednorazowo środków na podjęcie działalności gospodarczej w okresie obowiązywania niniejszyc</w:t>
      </w:r>
      <w:r w:rsidR="003066CC">
        <w:rPr>
          <w:rFonts w:ascii="Times New Roman" w:hAnsi="Times New Roman" w:cs="Times New Roman"/>
          <w:sz w:val="24"/>
          <w:szCs w:val="24"/>
        </w:rPr>
        <w:t>h zasad ma charakter okresowy i </w:t>
      </w:r>
      <w:r w:rsidRPr="003066CC">
        <w:rPr>
          <w:rFonts w:ascii="Times New Roman" w:hAnsi="Times New Roman" w:cs="Times New Roman"/>
          <w:sz w:val="24"/>
          <w:szCs w:val="24"/>
        </w:rPr>
        <w:t xml:space="preserve">jest realizowany w terminach ustalonych przez Dyrektora i opublikowany na stronie internetowej Urzędu </w:t>
      </w:r>
      <w:hyperlink r:id="rId8" w:history="1">
        <w:r w:rsidRPr="003066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www.pup-olkusz.pl</w:t>
        </w:r>
      </w:hyperlink>
      <w:r w:rsidRPr="003066CC">
        <w:rPr>
          <w:rFonts w:ascii="Times New Roman" w:hAnsi="Times New Roman" w:cs="Times New Roman"/>
          <w:sz w:val="24"/>
          <w:szCs w:val="24"/>
        </w:rPr>
        <w:t xml:space="preserve"> oraz w siedzibie Urzędu. </w:t>
      </w:r>
    </w:p>
    <w:p w:rsidR="003066CC" w:rsidRPr="003066CC" w:rsidRDefault="003066CC" w:rsidP="003066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6CC" w:rsidRPr="003066CC" w:rsidRDefault="008A72A5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Ocenie podlegają wnioski:</w:t>
      </w:r>
    </w:p>
    <w:p w:rsidR="008A72A5" w:rsidRPr="003066CC" w:rsidRDefault="008A72A5" w:rsidP="00177879">
      <w:pPr>
        <w:pStyle w:val="Akapitzlist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dostarczone w ogłoszonych terminach naborów,</w:t>
      </w:r>
    </w:p>
    <w:p w:rsidR="008A72A5" w:rsidRDefault="008A72A5" w:rsidP="00177879">
      <w:pPr>
        <w:pStyle w:val="Akapitzlist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i kompletnie wypełnione,</w:t>
      </w:r>
    </w:p>
    <w:p w:rsidR="008A72A5" w:rsidRDefault="008A72A5" w:rsidP="00177879">
      <w:pPr>
        <w:pStyle w:val="Akapitzlist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bezpośrednio w </w:t>
      </w:r>
      <w:r w:rsidR="006E74FB">
        <w:rPr>
          <w:rFonts w:ascii="Times New Roman" w:hAnsi="Times New Roman" w:cs="Times New Roman"/>
          <w:sz w:val="24"/>
          <w:szCs w:val="24"/>
        </w:rPr>
        <w:t>Urzędzie</w:t>
      </w:r>
      <w:r>
        <w:rPr>
          <w:rFonts w:ascii="Times New Roman" w:hAnsi="Times New Roman" w:cs="Times New Roman"/>
          <w:sz w:val="24"/>
          <w:szCs w:val="24"/>
        </w:rPr>
        <w:t xml:space="preserve"> lub przesłane drogą pocztową</w:t>
      </w:r>
      <w:r w:rsidR="003066CC">
        <w:rPr>
          <w:rFonts w:ascii="Times New Roman" w:hAnsi="Times New Roman" w:cs="Times New Roman"/>
          <w:sz w:val="24"/>
          <w:szCs w:val="24"/>
        </w:rPr>
        <w:t xml:space="preserve"> na </w:t>
      </w:r>
      <w:r>
        <w:rPr>
          <w:rFonts w:ascii="Times New Roman" w:hAnsi="Times New Roman" w:cs="Times New Roman"/>
          <w:sz w:val="24"/>
          <w:szCs w:val="24"/>
        </w:rPr>
        <w:t>obowiązujących formularzach,</w:t>
      </w:r>
    </w:p>
    <w:p w:rsidR="008A72A5" w:rsidRDefault="008A72A5" w:rsidP="00177879">
      <w:pPr>
        <w:pStyle w:val="Akapitzlist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których elementy składowe nie zostały zmodyfikowane lub usunięte.</w:t>
      </w:r>
    </w:p>
    <w:p w:rsidR="00BC39FD" w:rsidRDefault="00BC39FD" w:rsidP="00BC39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BC39FD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potrzeby uzupełnienia danych we wniosku Urząd wzywa </w:t>
      </w:r>
      <w:r w:rsidR="00284264">
        <w:rPr>
          <w:rFonts w:ascii="Times New Roman" w:hAnsi="Times New Roman" w:cs="Times New Roman"/>
          <w:sz w:val="24"/>
          <w:szCs w:val="24"/>
        </w:rPr>
        <w:t>wnioskodawcę</w:t>
      </w:r>
      <w:r>
        <w:rPr>
          <w:rFonts w:ascii="Times New Roman" w:hAnsi="Times New Roman" w:cs="Times New Roman"/>
          <w:sz w:val="24"/>
          <w:szCs w:val="24"/>
        </w:rPr>
        <w:t xml:space="preserve"> do jego uzupełnienia.</w:t>
      </w:r>
    </w:p>
    <w:p w:rsidR="003066CC" w:rsidRDefault="003066CC" w:rsidP="003066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BC39FD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 xml:space="preserve">Wnioski spełniające warunki formalne wynikające z ustawy i rozporządzenia, kompletnie i prawidłowo wypełnione, złożone </w:t>
      </w:r>
      <w:r w:rsidR="003066CC">
        <w:rPr>
          <w:rFonts w:ascii="Times New Roman" w:hAnsi="Times New Roman" w:cs="Times New Roman"/>
          <w:sz w:val="24"/>
          <w:szCs w:val="24"/>
        </w:rPr>
        <w:t>w terminie ogłoszenia naboru są </w:t>
      </w:r>
      <w:r w:rsidRPr="003066CC">
        <w:rPr>
          <w:rFonts w:ascii="Times New Roman" w:hAnsi="Times New Roman" w:cs="Times New Roman"/>
          <w:sz w:val="24"/>
          <w:szCs w:val="24"/>
        </w:rPr>
        <w:t xml:space="preserve">przekazywane do </w:t>
      </w:r>
      <w:r w:rsidR="006D6E5B" w:rsidRPr="003066CC">
        <w:rPr>
          <w:rFonts w:ascii="Times New Roman" w:hAnsi="Times New Roman" w:cs="Times New Roman"/>
          <w:sz w:val="24"/>
          <w:szCs w:val="24"/>
        </w:rPr>
        <w:t>oceny.</w:t>
      </w:r>
    </w:p>
    <w:p w:rsidR="00F05701" w:rsidRPr="00F05701" w:rsidRDefault="00F05701" w:rsidP="00F057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05701" w:rsidRPr="00FF0C67" w:rsidRDefault="00F05701" w:rsidP="00FF0C6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F0C67">
        <w:rPr>
          <w:rFonts w:ascii="Times New Roman" w:hAnsi="Times New Roman" w:cs="Times New Roman"/>
          <w:sz w:val="24"/>
          <w:szCs w:val="24"/>
        </w:rPr>
        <w:t>Wniosek należy wypełnić czytelnie: komputerowo lub czytelnym pismem. Poprawki należy wprowadzać poprzez skreślenie błędnego tekstu, wpisanie obok prawidłowego zapisu i każdorazow</w:t>
      </w:r>
      <w:r w:rsidR="00DA13D3" w:rsidRPr="00FF0C67">
        <w:rPr>
          <w:rFonts w:ascii="Times New Roman" w:hAnsi="Times New Roman" w:cs="Times New Roman"/>
          <w:sz w:val="24"/>
          <w:szCs w:val="24"/>
        </w:rPr>
        <w:t xml:space="preserve">o </w:t>
      </w:r>
      <w:r w:rsidRPr="00FF0C67">
        <w:rPr>
          <w:rFonts w:ascii="Times New Roman" w:hAnsi="Times New Roman" w:cs="Times New Roman"/>
          <w:sz w:val="24"/>
          <w:szCs w:val="24"/>
        </w:rPr>
        <w:t>zaparafowa</w:t>
      </w:r>
      <w:r w:rsidR="00DA13D3" w:rsidRPr="00FF0C67">
        <w:rPr>
          <w:rFonts w:ascii="Times New Roman" w:hAnsi="Times New Roman" w:cs="Times New Roman"/>
          <w:sz w:val="24"/>
          <w:szCs w:val="24"/>
        </w:rPr>
        <w:t>ć</w:t>
      </w:r>
      <w:r w:rsidRPr="00FF0C67">
        <w:rPr>
          <w:rFonts w:ascii="Times New Roman" w:hAnsi="Times New Roman" w:cs="Times New Roman"/>
          <w:sz w:val="24"/>
          <w:szCs w:val="24"/>
        </w:rPr>
        <w:t>.</w:t>
      </w:r>
    </w:p>
    <w:p w:rsidR="003066CC" w:rsidRPr="00FF0C67" w:rsidRDefault="003066CC" w:rsidP="003066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B5D85" w:rsidRPr="005C0908" w:rsidRDefault="006D6E5B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lastRenderedPageBreak/>
        <w:t>Oceny wniosków dok</w:t>
      </w:r>
      <w:r w:rsidR="003066CC">
        <w:rPr>
          <w:rFonts w:ascii="Times New Roman" w:hAnsi="Times New Roman" w:cs="Times New Roman"/>
          <w:sz w:val="24"/>
          <w:szCs w:val="24"/>
        </w:rPr>
        <w:t>o</w:t>
      </w:r>
      <w:r w:rsidRPr="003066CC">
        <w:rPr>
          <w:rFonts w:ascii="Times New Roman" w:hAnsi="Times New Roman" w:cs="Times New Roman"/>
          <w:sz w:val="24"/>
          <w:szCs w:val="24"/>
        </w:rPr>
        <w:t>nuje</w:t>
      </w:r>
      <w:r w:rsidR="00174944" w:rsidRPr="003066CC">
        <w:rPr>
          <w:rFonts w:ascii="Times New Roman" w:hAnsi="Times New Roman" w:cs="Times New Roman"/>
          <w:sz w:val="24"/>
          <w:szCs w:val="24"/>
        </w:rPr>
        <w:t xml:space="preserve"> Dyrektor U</w:t>
      </w:r>
      <w:r w:rsidR="003066CC">
        <w:rPr>
          <w:rFonts w:ascii="Times New Roman" w:hAnsi="Times New Roman" w:cs="Times New Roman"/>
          <w:sz w:val="24"/>
          <w:szCs w:val="24"/>
        </w:rPr>
        <w:t>rzędu</w:t>
      </w:r>
      <w:r w:rsidRPr="003066CC">
        <w:rPr>
          <w:rFonts w:ascii="Times New Roman" w:hAnsi="Times New Roman" w:cs="Times New Roman"/>
          <w:sz w:val="24"/>
          <w:szCs w:val="24"/>
        </w:rPr>
        <w:t xml:space="preserve">, </w:t>
      </w:r>
      <w:r w:rsidR="00CC28BA" w:rsidRPr="003066CC">
        <w:rPr>
          <w:rFonts w:ascii="Times New Roman" w:hAnsi="Times New Roman" w:cs="Times New Roman"/>
          <w:sz w:val="24"/>
          <w:szCs w:val="24"/>
        </w:rPr>
        <w:t>Zastępca</w:t>
      </w:r>
      <w:r w:rsidRPr="003066CC">
        <w:rPr>
          <w:rFonts w:ascii="Times New Roman" w:hAnsi="Times New Roman" w:cs="Times New Roman"/>
          <w:sz w:val="24"/>
          <w:szCs w:val="24"/>
        </w:rPr>
        <w:t xml:space="preserve"> Dyrektora</w:t>
      </w:r>
      <w:r w:rsidR="00CC28BA" w:rsidRPr="003066CC">
        <w:rPr>
          <w:rFonts w:ascii="Times New Roman" w:hAnsi="Times New Roman" w:cs="Times New Roman"/>
          <w:sz w:val="24"/>
          <w:szCs w:val="24"/>
        </w:rPr>
        <w:t xml:space="preserve"> oraz Kierownik Działu Instrumentów Rynku Pracy.</w:t>
      </w:r>
    </w:p>
    <w:p w:rsidR="00BB5D85" w:rsidRPr="003066CC" w:rsidRDefault="00BB5D85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84264" w:rsidRPr="00BF57CB" w:rsidRDefault="00CC28BA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Przy ocenie wniosków będą brane pod uwagę następujące kryteria:</w:t>
      </w:r>
    </w:p>
    <w:p w:rsidR="00BB5D85" w:rsidRPr="00284264" w:rsidRDefault="00284264" w:rsidP="006D584A">
      <w:pPr>
        <w:pStyle w:val="Akapitzlist"/>
        <w:numPr>
          <w:ilvl w:val="0"/>
          <w:numId w:val="14"/>
        </w:numPr>
        <w:spacing w:before="120" w:after="100" w:afterAutospacing="1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planowanej działalności (preferowana będzie działalności w sektorze produkcji i usług),</w:t>
      </w:r>
    </w:p>
    <w:p w:rsidR="00BB5D85" w:rsidRDefault="00557C22" w:rsidP="006D584A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 xml:space="preserve">posiadane przez </w:t>
      </w:r>
      <w:r w:rsidR="005C0908">
        <w:rPr>
          <w:rFonts w:ascii="Times New Roman" w:hAnsi="Times New Roman" w:cs="Times New Roman"/>
          <w:sz w:val="24"/>
          <w:szCs w:val="24"/>
        </w:rPr>
        <w:t>wnioskodawcę</w:t>
      </w:r>
      <w:r w:rsidRPr="00BB5D85">
        <w:rPr>
          <w:rFonts w:ascii="Times New Roman" w:hAnsi="Times New Roman" w:cs="Times New Roman"/>
          <w:sz w:val="24"/>
          <w:szCs w:val="24"/>
        </w:rPr>
        <w:t xml:space="preserve"> kwalifikacje</w:t>
      </w:r>
      <w:r w:rsidR="002711A1" w:rsidRPr="00BB5D85">
        <w:rPr>
          <w:rFonts w:ascii="Times New Roman" w:hAnsi="Times New Roman" w:cs="Times New Roman"/>
          <w:sz w:val="24"/>
          <w:szCs w:val="24"/>
        </w:rPr>
        <w:t xml:space="preserve"> zawodowe</w:t>
      </w:r>
      <w:r w:rsidRPr="00BB5D85">
        <w:rPr>
          <w:rFonts w:ascii="Times New Roman" w:hAnsi="Times New Roman" w:cs="Times New Roman"/>
          <w:sz w:val="24"/>
          <w:szCs w:val="24"/>
        </w:rPr>
        <w:t xml:space="preserve"> lub doświadczenie zawodowe związane z p</w:t>
      </w:r>
      <w:r w:rsidR="003066CC" w:rsidRPr="00BB5D85">
        <w:rPr>
          <w:rFonts w:ascii="Times New Roman" w:hAnsi="Times New Roman" w:cs="Times New Roman"/>
          <w:sz w:val="24"/>
          <w:szCs w:val="24"/>
        </w:rPr>
        <w:t>rofilem planowanej działalności</w:t>
      </w:r>
      <w:r w:rsidR="00F044A7" w:rsidRPr="00BB5D85">
        <w:rPr>
          <w:rFonts w:ascii="Times New Roman" w:hAnsi="Times New Roman" w:cs="Times New Roman"/>
          <w:sz w:val="24"/>
          <w:szCs w:val="24"/>
        </w:rPr>
        <w:t>, jako dokumenty potwierdzające kwalifikacje zawodowe</w:t>
      </w:r>
      <w:r w:rsidR="002711A1" w:rsidRPr="00BB5D85">
        <w:rPr>
          <w:rFonts w:ascii="Times New Roman" w:hAnsi="Times New Roman" w:cs="Times New Roman"/>
          <w:sz w:val="24"/>
          <w:szCs w:val="24"/>
        </w:rPr>
        <w:t xml:space="preserve"> i doświadczenie zawodowe należy rozumieć: posiadane licencje, koncesje, certyfikaty, świadectwa szkolne, dyplomy, świadectwa pracy, umowy zlecenia, umowy o dzieło,</w:t>
      </w:r>
    </w:p>
    <w:p w:rsidR="00BB5D85" w:rsidRDefault="002C56FA" w:rsidP="006D584A">
      <w:pPr>
        <w:pStyle w:val="Akapitzlist"/>
        <w:numPr>
          <w:ilvl w:val="0"/>
          <w:numId w:val="11"/>
        </w:numPr>
        <w:spacing w:before="120" w:after="100" w:afterAutospacing="1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>uzasadnienie planowanej działalności,</w:t>
      </w:r>
    </w:p>
    <w:p w:rsidR="00BB5D85" w:rsidRDefault="002C56FA" w:rsidP="006D584A">
      <w:pPr>
        <w:pStyle w:val="Akapitzlist"/>
        <w:numPr>
          <w:ilvl w:val="0"/>
          <w:numId w:val="1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>przeznaczenie wnioskowanych środków, w szczegó</w:t>
      </w:r>
      <w:r w:rsidR="003066CC" w:rsidRPr="00BB5D85">
        <w:rPr>
          <w:rFonts w:ascii="Times New Roman" w:hAnsi="Times New Roman" w:cs="Times New Roman"/>
          <w:sz w:val="24"/>
          <w:szCs w:val="24"/>
        </w:rPr>
        <w:t>lności czy planowane wydatki są </w:t>
      </w:r>
      <w:r w:rsidRPr="00BB5D85">
        <w:rPr>
          <w:rFonts w:ascii="Times New Roman" w:hAnsi="Times New Roman" w:cs="Times New Roman"/>
          <w:sz w:val="24"/>
          <w:szCs w:val="24"/>
        </w:rPr>
        <w:t xml:space="preserve">bezpośrednio i jednoznacznie związane z rodzajem zamierzonej działalności oraz </w:t>
      </w:r>
      <w:r w:rsidR="00174944" w:rsidRPr="00BB5D85">
        <w:rPr>
          <w:rFonts w:ascii="Times New Roman" w:hAnsi="Times New Roman" w:cs="Times New Roman"/>
          <w:sz w:val="24"/>
          <w:szCs w:val="24"/>
        </w:rPr>
        <w:t>poziom cen zakupów wskazanych we wniosku</w:t>
      </w:r>
      <w:r w:rsidRPr="00BB5D85">
        <w:rPr>
          <w:rFonts w:ascii="Times New Roman" w:hAnsi="Times New Roman" w:cs="Times New Roman"/>
          <w:sz w:val="24"/>
          <w:szCs w:val="24"/>
        </w:rPr>
        <w:t xml:space="preserve"> odpowiada cenom rynkowym</w:t>
      </w:r>
      <w:r w:rsidR="00174944" w:rsidRPr="00BB5D85">
        <w:rPr>
          <w:rFonts w:ascii="Times New Roman" w:hAnsi="Times New Roman" w:cs="Times New Roman"/>
          <w:sz w:val="24"/>
          <w:szCs w:val="24"/>
        </w:rPr>
        <w:t>,</w:t>
      </w:r>
    </w:p>
    <w:p w:rsidR="00BB5D85" w:rsidRDefault="002C56FA" w:rsidP="006D584A">
      <w:pPr>
        <w:pStyle w:val="Akapitzlist"/>
        <w:numPr>
          <w:ilvl w:val="0"/>
          <w:numId w:val="1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>zabezpieczenie zwrotu środków,</w:t>
      </w:r>
    </w:p>
    <w:p w:rsidR="00BB5D85" w:rsidRDefault="00174944" w:rsidP="006D584A">
      <w:pPr>
        <w:pStyle w:val="Akapitzlist"/>
        <w:numPr>
          <w:ilvl w:val="0"/>
          <w:numId w:val="1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>podjęte przedsięwzięcia w kierunku uruchomienia działalności</w:t>
      </w:r>
      <w:r w:rsidR="000A6CC5" w:rsidRPr="00BB5D85">
        <w:rPr>
          <w:rFonts w:ascii="Times New Roman" w:hAnsi="Times New Roman" w:cs="Times New Roman"/>
          <w:sz w:val="24"/>
          <w:szCs w:val="24"/>
        </w:rPr>
        <w:t>,</w:t>
      </w:r>
    </w:p>
    <w:p w:rsidR="002711A1" w:rsidRPr="00BB5D85" w:rsidRDefault="000A6CC5" w:rsidP="006D584A">
      <w:pPr>
        <w:pStyle w:val="Akapitzlist"/>
        <w:numPr>
          <w:ilvl w:val="0"/>
          <w:numId w:val="1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B5D85">
        <w:rPr>
          <w:rFonts w:ascii="Times New Roman" w:hAnsi="Times New Roman" w:cs="Times New Roman"/>
          <w:sz w:val="24"/>
          <w:szCs w:val="24"/>
        </w:rPr>
        <w:t>okres na uzyskanie pozwoleń, zezwoleń na prowadzenie działalności gospodarczej.</w:t>
      </w:r>
    </w:p>
    <w:p w:rsidR="003066CC" w:rsidRPr="003066CC" w:rsidRDefault="003066CC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AD57B0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Dyrektor podejmuje ostateczną decyzję</w:t>
      </w:r>
      <w:r w:rsidR="003066CC">
        <w:rPr>
          <w:rFonts w:ascii="Times New Roman" w:hAnsi="Times New Roman" w:cs="Times New Roman"/>
          <w:sz w:val="24"/>
          <w:szCs w:val="24"/>
        </w:rPr>
        <w:t xml:space="preserve"> o zakwalifikowaniu wniosków do </w:t>
      </w:r>
      <w:r w:rsidRPr="003066CC">
        <w:rPr>
          <w:rFonts w:ascii="Times New Roman" w:hAnsi="Times New Roman" w:cs="Times New Roman"/>
          <w:sz w:val="24"/>
          <w:szCs w:val="24"/>
        </w:rPr>
        <w:t xml:space="preserve">pozytywnego </w:t>
      </w:r>
      <w:r w:rsidR="00F044A7" w:rsidRPr="003066CC">
        <w:rPr>
          <w:rFonts w:ascii="Times New Roman" w:hAnsi="Times New Roman" w:cs="Times New Roman"/>
          <w:sz w:val="24"/>
          <w:szCs w:val="24"/>
        </w:rPr>
        <w:t xml:space="preserve"> </w:t>
      </w:r>
      <w:r w:rsidRPr="003066CC">
        <w:rPr>
          <w:rFonts w:ascii="Times New Roman" w:hAnsi="Times New Roman" w:cs="Times New Roman"/>
          <w:sz w:val="24"/>
          <w:szCs w:val="24"/>
        </w:rPr>
        <w:t>załatwienia</w:t>
      </w:r>
      <w:r w:rsidR="00F71961" w:rsidRPr="003066CC">
        <w:rPr>
          <w:rFonts w:ascii="Times New Roman" w:hAnsi="Times New Roman" w:cs="Times New Roman"/>
          <w:sz w:val="24"/>
          <w:szCs w:val="24"/>
        </w:rPr>
        <w:t>.</w:t>
      </w:r>
    </w:p>
    <w:p w:rsidR="003066CC" w:rsidRDefault="003066CC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0A6CC5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W zależności od źródła finansowania dotacji na podjęcie działalności gospodarczej, mogą obowiązywać odrębne kryteria w zakresie ich przyznawania.</w:t>
      </w:r>
    </w:p>
    <w:p w:rsidR="003066CC" w:rsidRPr="003066CC" w:rsidRDefault="003066CC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B30D02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 xml:space="preserve">O sposobie rozpatrzenia wniosku </w:t>
      </w:r>
      <w:r w:rsidR="0025640D">
        <w:rPr>
          <w:rFonts w:ascii="Times New Roman" w:hAnsi="Times New Roman" w:cs="Times New Roman"/>
          <w:sz w:val="24"/>
          <w:szCs w:val="24"/>
        </w:rPr>
        <w:t>wnioskodawca</w:t>
      </w:r>
      <w:r w:rsidRPr="003066CC">
        <w:rPr>
          <w:rFonts w:ascii="Times New Roman" w:hAnsi="Times New Roman" w:cs="Times New Roman"/>
          <w:sz w:val="24"/>
          <w:szCs w:val="24"/>
        </w:rPr>
        <w:t xml:space="preserve"> zostaje poinformowany w formie pisemnej</w:t>
      </w:r>
      <w:r w:rsidR="000A6CC5" w:rsidRPr="003066CC">
        <w:rPr>
          <w:rFonts w:ascii="Times New Roman" w:hAnsi="Times New Roman" w:cs="Times New Roman"/>
          <w:sz w:val="24"/>
          <w:szCs w:val="24"/>
        </w:rPr>
        <w:t xml:space="preserve">, w terminie 30 dni od dnia złożenia kompletnego wniosku, </w:t>
      </w:r>
      <w:r w:rsidR="001C41B7" w:rsidRPr="003066CC">
        <w:rPr>
          <w:rFonts w:ascii="Times New Roman" w:hAnsi="Times New Roman" w:cs="Times New Roman"/>
          <w:sz w:val="24"/>
          <w:szCs w:val="24"/>
        </w:rPr>
        <w:t>w</w:t>
      </w:r>
      <w:r w:rsidRPr="003066CC">
        <w:rPr>
          <w:rFonts w:ascii="Times New Roman" w:hAnsi="Times New Roman" w:cs="Times New Roman"/>
          <w:sz w:val="24"/>
          <w:szCs w:val="24"/>
        </w:rPr>
        <w:t xml:space="preserve"> przypadku nieuwzględnienia wniosku</w:t>
      </w:r>
      <w:r w:rsidR="000A6CC5" w:rsidRPr="003066CC">
        <w:rPr>
          <w:rFonts w:ascii="Times New Roman" w:hAnsi="Times New Roman" w:cs="Times New Roman"/>
          <w:sz w:val="24"/>
          <w:szCs w:val="24"/>
        </w:rPr>
        <w:t xml:space="preserve"> podawana jest przyczyna odmowy.</w:t>
      </w:r>
    </w:p>
    <w:p w:rsidR="003066CC" w:rsidRPr="003066CC" w:rsidRDefault="003066CC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4D604F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W przypadku uwzględnienia wniosku zawierana</w:t>
      </w:r>
      <w:r w:rsidR="006D6E5B" w:rsidRPr="003066CC">
        <w:rPr>
          <w:rFonts w:ascii="Times New Roman" w:hAnsi="Times New Roman" w:cs="Times New Roman"/>
          <w:sz w:val="24"/>
          <w:szCs w:val="24"/>
        </w:rPr>
        <w:t xml:space="preserve"> jest</w:t>
      </w:r>
      <w:r w:rsidRPr="003066CC">
        <w:rPr>
          <w:rFonts w:ascii="Times New Roman" w:hAnsi="Times New Roman" w:cs="Times New Roman"/>
          <w:sz w:val="24"/>
          <w:szCs w:val="24"/>
        </w:rPr>
        <w:t xml:space="preserve"> umowa pomiędzy </w:t>
      </w:r>
      <w:r w:rsidR="0025640D">
        <w:rPr>
          <w:rFonts w:ascii="Times New Roman" w:hAnsi="Times New Roman" w:cs="Times New Roman"/>
          <w:sz w:val="24"/>
          <w:szCs w:val="24"/>
        </w:rPr>
        <w:t>wnioskodawcą</w:t>
      </w:r>
      <w:r w:rsidR="003066CC">
        <w:rPr>
          <w:rFonts w:ascii="Times New Roman" w:hAnsi="Times New Roman" w:cs="Times New Roman"/>
          <w:sz w:val="24"/>
          <w:szCs w:val="24"/>
        </w:rPr>
        <w:t xml:space="preserve"> a </w:t>
      </w:r>
      <w:r w:rsidR="006E74FB" w:rsidRPr="003066CC">
        <w:rPr>
          <w:rFonts w:ascii="Times New Roman" w:hAnsi="Times New Roman" w:cs="Times New Roman"/>
          <w:sz w:val="24"/>
          <w:szCs w:val="24"/>
        </w:rPr>
        <w:t>u</w:t>
      </w:r>
      <w:r w:rsidRPr="003066CC">
        <w:rPr>
          <w:rFonts w:ascii="Times New Roman" w:hAnsi="Times New Roman" w:cs="Times New Roman"/>
          <w:sz w:val="24"/>
          <w:szCs w:val="24"/>
        </w:rPr>
        <w:t>rzędem, w której to umowie zawarte są szczegółowe postanowienia.</w:t>
      </w:r>
    </w:p>
    <w:p w:rsidR="003066CC" w:rsidRPr="003066CC" w:rsidRDefault="003066CC" w:rsidP="006D58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1961" w:rsidRPr="003066CC" w:rsidRDefault="00F044A7" w:rsidP="006D58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Środki na podjęcie działalności gospodarczej nie mogą być przeznaczone na:</w:t>
      </w:r>
    </w:p>
    <w:tbl>
      <w:tblPr>
        <w:tblW w:w="922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0"/>
      </w:tblGrid>
      <w:tr w:rsidR="006F0C50" w:rsidRPr="006F0C50" w:rsidTr="00F17DBD">
        <w:trPr>
          <w:trHeight w:val="31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C5" w:rsidRPr="000A6CC5" w:rsidRDefault="006F0C50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akcji, obligacji, udziałów w spółkach, kaucji,</w:t>
            </w:r>
          </w:p>
        </w:tc>
      </w:tr>
      <w:tr w:rsidR="006F0C50" w:rsidRPr="006F0C50" w:rsidTr="00F17DBD">
        <w:trPr>
          <w:trHeight w:val="31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50" w:rsidRDefault="006F0C50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eksploatacyjne (prąd, woda, czynsz, dzierżawa)</w:t>
            </w:r>
            <w:r w:rsidR="00BF5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D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skarbowe, koncesje,</w:t>
            </w:r>
            <w:r w:rsidR="00387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licencje,</w:t>
            </w:r>
            <w:r w:rsidRPr="005D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87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podatki,</w:t>
            </w:r>
          </w:p>
          <w:p w:rsidR="00387DA1" w:rsidRPr="005D5B31" w:rsidRDefault="00387DA1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7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ZUS i KRUS, wypłaty wynagrodzeń, inne bieżące koszty utrzymania lokalu,</w:t>
            </w:r>
          </w:p>
        </w:tc>
      </w:tr>
      <w:tr w:rsidR="006F0C50" w:rsidRPr="006F0C50" w:rsidTr="00F17DBD">
        <w:trPr>
          <w:trHeight w:val="31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50" w:rsidRPr="005D5B31" w:rsidRDefault="006F0C50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 handlowy w kwocie </w:t>
            </w:r>
            <w:r w:rsidRPr="008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przewyższającej </w:t>
            </w:r>
            <w:r w:rsidR="00D2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8E061D" w:rsidRPr="008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 zł</w:t>
            </w:r>
            <w:r w:rsidRPr="008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</w:p>
        </w:tc>
      </w:tr>
      <w:tr w:rsidR="006F0C50" w:rsidRPr="006F0C50" w:rsidTr="00F17DBD">
        <w:trPr>
          <w:trHeight w:val="31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50" w:rsidRDefault="00911E7F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leasing maszyn, urządzeń i pojazdów,</w:t>
            </w:r>
          </w:p>
          <w:p w:rsidR="00805E18" w:rsidRDefault="00805E18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klimatyzacji, monitoringu, alarmu,</w:t>
            </w:r>
          </w:p>
          <w:p w:rsidR="00C30111" w:rsidRDefault="00C30111" w:rsidP="006D58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samochod</w:t>
            </w:r>
            <w:r w:rsidR="00A25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ów,</w:t>
            </w:r>
            <w:r w:rsidRPr="00BF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wyjątkiem</w:t>
            </w:r>
            <w:r w:rsidR="00A25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BF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25A74" w:rsidRDefault="00A25A74" w:rsidP="006D584A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samochodów z jednym rzędem siedzeń plus przestrzeń ładunkowa,</w:t>
            </w:r>
          </w:p>
          <w:p w:rsidR="00A25A74" w:rsidRPr="00BF57CB" w:rsidRDefault="00A25A74" w:rsidP="006D584A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samochodów mających więcej niż jeden rząd siedzeń pod warunkiem, że część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przeznaczona do przewozu ładunków jest dłuższa od części osobowej,</w:t>
            </w:r>
          </w:p>
        </w:tc>
      </w:tr>
      <w:tr w:rsidR="006F0C50" w:rsidRPr="006F0C50" w:rsidTr="00F17DBD">
        <w:trPr>
          <w:trHeight w:val="31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46" w:rsidRPr="00FE2394" w:rsidRDefault="006F0C50" w:rsidP="0017787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zakup środka transportu</w:t>
            </w:r>
            <w:r w:rsidR="00183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(w tym przyczepy, lawety)</w:t>
            </w:r>
            <w:r w:rsidRPr="00106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jeżeli działalność gospodarcza świadczona będzie</w:t>
            </w:r>
            <w:r w:rsidR="00C15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zakresie transportu drogowego towarów,</w:t>
            </w:r>
          </w:p>
          <w:p w:rsidR="00364922" w:rsidRPr="00FE2394" w:rsidRDefault="008B24D3" w:rsidP="008B24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telefon</w:t>
            </w:r>
            <w:r w:rsidR="00433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4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komórkowy,</w:t>
            </w:r>
          </w:p>
        </w:tc>
      </w:tr>
    </w:tbl>
    <w:p w:rsidR="00DC3915" w:rsidRDefault="000F5F46" w:rsidP="00177879">
      <w:pPr>
        <w:pStyle w:val="Akapitzlist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80A49">
        <w:rPr>
          <w:rFonts w:ascii="Times New Roman" w:hAnsi="Times New Roman" w:cs="Times New Roman"/>
          <w:sz w:val="24"/>
          <w:szCs w:val="24"/>
        </w:rPr>
        <w:t>asę fiskalną</w:t>
      </w:r>
      <w:r w:rsidR="00911E7F">
        <w:rPr>
          <w:rFonts w:ascii="Times New Roman" w:hAnsi="Times New Roman" w:cs="Times New Roman"/>
          <w:sz w:val="24"/>
          <w:szCs w:val="24"/>
        </w:rPr>
        <w:t>,</w:t>
      </w:r>
    </w:p>
    <w:p w:rsidR="00911E7F" w:rsidRDefault="00911E7F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nieruchomości,</w:t>
      </w:r>
      <w:r w:rsidR="000A6CC5">
        <w:rPr>
          <w:rFonts w:ascii="Times New Roman" w:hAnsi="Times New Roman" w:cs="Times New Roman"/>
          <w:sz w:val="24"/>
          <w:szCs w:val="24"/>
        </w:rPr>
        <w:t xml:space="preserve"> wydatki inwestycyjne obejmujące budowę,</w:t>
      </w:r>
    </w:p>
    <w:p w:rsidR="00911E7F" w:rsidRDefault="00911E7F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ziemi,</w:t>
      </w:r>
    </w:p>
    <w:p w:rsidR="00887DF4" w:rsidRDefault="00887DF4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50">
        <w:rPr>
          <w:rFonts w:ascii="Times New Roman" w:hAnsi="Times New Roman" w:cs="Times New Roman"/>
          <w:sz w:val="24"/>
          <w:szCs w:val="24"/>
        </w:rPr>
        <w:t>remont</w:t>
      </w:r>
      <w:r w:rsidR="00F57A50" w:rsidRPr="00F57A50">
        <w:rPr>
          <w:rFonts w:ascii="Times New Roman" w:hAnsi="Times New Roman" w:cs="Times New Roman"/>
          <w:sz w:val="24"/>
          <w:szCs w:val="24"/>
        </w:rPr>
        <w:t xml:space="preserve"> lokalu</w:t>
      </w:r>
      <w:r w:rsidRPr="00F57A50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8E061D">
        <w:rPr>
          <w:rFonts w:ascii="Times New Roman" w:hAnsi="Times New Roman" w:cs="Times New Roman"/>
          <w:b/>
          <w:sz w:val="24"/>
          <w:szCs w:val="24"/>
        </w:rPr>
        <w:t>p</w:t>
      </w:r>
      <w:r w:rsidR="00F57A50" w:rsidRPr="008E061D">
        <w:rPr>
          <w:rFonts w:ascii="Times New Roman" w:hAnsi="Times New Roman" w:cs="Times New Roman"/>
          <w:b/>
          <w:sz w:val="24"/>
          <w:szCs w:val="24"/>
        </w:rPr>
        <w:t>rzewyższającej</w:t>
      </w:r>
      <w:r w:rsidR="00BF39E3" w:rsidRPr="008E0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61D" w:rsidRPr="008E061D">
        <w:rPr>
          <w:rFonts w:ascii="Times New Roman" w:hAnsi="Times New Roman" w:cs="Times New Roman"/>
          <w:b/>
          <w:sz w:val="24"/>
          <w:szCs w:val="24"/>
        </w:rPr>
        <w:t>3 000 zł</w:t>
      </w:r>
      <w:r w:rsidR="00BF39E3" w:rsidRPr="008E061D">
        <w:rPr>
          <w:rFonts w:ascii="Times New Roman" w:hAnsi="Times New Roman" w:cs="Times New Roman"/>
          <w:b/>
          <w:sz w:val="24"/>
          <w:szCs w:val="24"/>
        </w:rPr>
        <w:t>,</w:t>
      </w:r>
    </w:p>
    <w:p w:rsidR="00BF39E3" w:rsidRDefault="00BF39E3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lokalu, gdy działalność </w:t>
      </w:r>
      <w:r w:rsidR="008038FF">
        <w:rPr>
          <w:rFonts w:ascii="Times New Roman" w:hAnsi="Times New Roman" w:cs="Times New Roman"/>
          <w:sz w:val="24"/>
          <w:szCs w:val="24"/>
        </w:rPr>
        <w:t xml:space="preserve">gospodarcza będzie prowadzona </w:t>
      </w:r>
      <w:r>
        <w:rPr>
          <w:rFonts w:ascii="Times New Roman" w:hAnsi="Times New Roman" w:cs="Times New Roman"/>
          <w:sz w:val="24"/>
          <w:szCs w:val="24"/>
        </w:rPr>
        <w:t>w miejscu zamieszkania</w:t>
      </w:r>
      <w:r w:rsidR="008038FF">
        <w:rPr>
          <w:rFonts w:ascii="Times New Roman" w:hAnsi="Times New Roman" w:cs="Times New Roman"/>
          <w:sz w:val="24"/>
          <w:szCs w:val="24"/>
        </w:rPr>
        <w:t xml:space="preserve"> lub zameldowania,</w:t>
      </w:r>
    </w:p>
    <w:p w:rsidR="008038FF" w:rsidRDefault="00F044A7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kursy,</w:t>
      </w:r>
      <w:r w:rsidR="002F2689">
        <w:rPr>
          <w:rFonts w:ascii="Times New Roman" w:hAnsi="Times New Roman" w:cs="Times New Roman"/>
          <w:sz w:val="24"/>
          <w:szCs w:val="24"/>
        </w:rPr>
        <w:t xml:space="preserve"> </w:t>
      </w:r>
      <w:r w:rsidR="008038FF">
        <w:rPr>
          <w:rFonts w:ascii="Times New Roman" w:hAnsi="Times New Roman" w:cs="Times New Roman"/>
          <w:sz w:val="24"/>
          <w:szCs w:val="24"/>
        </w:rPr>
        <w:t>szkolenia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4A7" w:rsidRDefault="00F044A7" w:rsidP="001778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odzież i środki BHP.</w:t>
      </w:r>
    </w:p>
    <w:p w:rsidR="00145C7D" w:rsidRDefault="00145C7D" w:rsidP="00145C7D">
      <w:pPr>
        <w:pStyle w:val="Akapitzlist"/>
        <w:spacing w:after="0" w:line="240" w:lineRule="auto"/>
        <w:ind w:left="1426"/>
        <w:jc w:val="both"/>
        <w:rPr>
          <w:rFonts w:ascii="Times New Roman" w:hAnsi="Times New Roman" w:cs="Times New Roman"/>
          <w:sz w:val="24"/>
          <w:szCs w:val="24"/>
        </w:rPr>
      </w:pPr>
    </w:p>
    <w:p w:rsidR="00145C7D" w:rsidRDefault="00145C7D" w:rsidP="00145C7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Powyższa lista wył</w:t>
      </w:r>
      <w:r w:rsidR="00BB36C5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czeń nie jest zamknięta i w ramach poszczególnych wniosków Urząd może wyłączyć z dotacji proponowane przez Wnioskodawcę wydatki nie mieszczące się w powyższym katalogu wyłączeń.</w:t>
      </w:r>
    </w:p>
    <w:p w:rsidR="008B24D3" w:rsidRDefault="008B24D3" w:rsidP="00145C7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C7D" w:rsidRDefault="00145C7D" w:rsidP="00145C7D">
      <w:pPr>
        <w:pStyle w:val="Akapitzlist"/>
        <w:spacing w:after="0" w:line="240" w:lineRule="auto"/>
        <w:ind w:left="1426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0D5D83" w:rsidP="003649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3C9">
        <w:rPr>
          <w:rFonts w:ascii="Times New Roman" w:hAnsi="Times New Roman" w:cs="Times New Roman"/>
          <w:sz w:val="24"/>
          <w:szCs w:val="24"/>
        </w:rPr>
        <w:t>W sytuacji, gdy pomiędzy przyznaną dotacją, a faktycznie poniesionymi wydatkami powstaną oszczę</w:t>
      </w:r>
      <w:r w:rsidR="004C00AE" w:rsidRPr="007E23C9">
        <w:rPr>
          <w:rFonts w:ascii="Times New Roman" w:hAnsi="Times New Roman" w:cs="Times New Roman"/>
          <w:sz w:val="24"/>
          <w:szCs w:val="24"/>
        </w:rPr>
        <w:t xml:space="preserve">dności, </w:t>
      </w:r>
      <w:r w:rsidR="0025640D" w:rsidRPr="007E23C9">
        <w:rPr>
          <w:rFonts w:ascii="Times New Roman" w:hAnsi="Times New Roman" w:cs="Times New Roman"/>
          <w:sz w:val="24"/>
          <w:szCs w:val="24"/>
        </w:rPr>
        <w:t>wnioskodawca</w:t>
      </w:r>
      <w:r w:rsidR="004C00AE" w:rsidRPr="007E23C9">
        <w:rPr>
          <w:rFonts w:ascii="Times New Roman" w:hAnsi="Times New Roman" w:cs="Times New Roman"/>
          <w:sz w:val="24"/>
          <w:szCs w:val="24"/>
        </w:rPr>
        <w:t xml:space="preserve"> może ubiegać się o zakup dodatkowych urządzeń lub zwiększenie kwoty na zakup przewidziany w specyfikacji wydatków </w:t>
      </w:r>
      <w:r w:rsidR="00BD08D3" w:rsidRPr="007E23C9">
        <w:rPr>
          <w:rFonts w:ascii="Times New Roman" w:hAnsi="Times New Roman" w:cs="Times New Roman"/>
          <w:sz w:val="24"/>
          <w:szCs w:val="24"/>
        </w:rPr>
        <w:t>w ramach powstałej różnicy. Decyzje o tym podejmuje Dyrektor na pisemny wniosek</w:t>
      </w:r>
      <w:r w:rsidR="006D6E5B" w:rsidRPr="007E23C9">
        <w:rPr>
          <w:rFonts w:ascii="Times New Roman" w:hAnsi="Times New Roman" w:cs="Times New Roman"/>
          <w:sz w:val="24"/>
          <w:szCs w:val="24"/>
        </w:rPr>
        <w:t xml:space="preserve"> </w:t>
      </w:r>
      <w:r w:rsidR="007E23C9" w:rsidRPr="007E23C9">
        <w:rPr>
          <w:rFonts w:ascii="Times New Roman" w:hAnsi="Times New Roman" w:cs="Times New Roman"/>
          <w:sz w:val="24"/>
          <w:szCs w:val="24"/>
        </w:rPr>
        <w:t>wnioskodawcy</w:t>
      </w:r>
      <w:r w:rsidR="002F5F5A" w:rsidRPr="007E23C9">
        <w:rPr>
          <w:rFonts w:ascii="Times New Roman" w:hAnsi="Times New Roman" w:cs="Times New Roman"/>
          <w:sz w:val="24"/>
          <w:szCs w:val="24"/>
        </w:rPr>
        <w:t xml:space="preserve"> o zmianę specyfikacji wydatków</w:t>
      </w:r>
      <w:r w:rsidR="007E23C9" w:rsidRPr="007E23C9">
        <w:rPr>
          <w:rFonts w:ascii="Times New Roman" w:hAnsi="Times New Roman" w:cs="Times New Roman"/>
          <w:sz w:val="24"/>
          <w:szCs w:val="24"/>
        </w:rPr>
        <w:t>.</w:t>
      </w:r>
      <w:r w:rsidR="00BD08D3" w:rsidRPr="007E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C9" w:rsidRPr="007E23C9" w:rsidRDefault="007E23C9" w:rsidP="007E23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Pr="00BF57CB" w:rsidRDefault="00BF57CB" w:rsidP="00BF57C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F5F5A" w:rsidRPr="003066CC">
        <w:rPr>
          <w:rFonts w:ascii="Times New Roman" w:hAnsi="Times New Roman" w:cs="Times New Roman"/>
          <w:sz w:val="24"/>
          <w:szCs w:val="24"/>
        </w:rPr>
        <w:t xml:space="preserve"> przypadku gdy kwoty wnioskowane dotyczące poszczególnych zakupów zmniejszą się lub zwiększą o 20% nie będzie konieczności uzyskania zgody Dyrek</w:t>
      </w:r>
      <w:r>
        <w:rPr>
          <w:rFonts w:ascii="Times New Roman" w:hAnsi="Times New Roman" w:cs="Times New Roman"/>
          <w:sz w:val="24"/>
          <w:szCs w:val="24"/>
        </w:rPr>
        <w:t>tora</w:t>
      </w:r>
      <w:r w:rsidR="002F5F5A" w:rsidRPr="003066CC">
        <w:rPr>
          <w:rFonts w:ascii="Times New Roman" w:hAnsi="Times New Roman" w:cs="Times New Roman"/>
          <w:sz w:val="24"/>
          <w:szCs w:val="24"/>
        </w:rPr>
        <w:t>.</w:t>
      </w:r>
      <w:r w:rsidR="008E061D">
        <w:rPr>
          <w:rFonts w:ascii="Times New Roman" w:hAnsi="Times New Roman" w:cs="Times New Roman"/>
          <w:sz w:val="24"/>
          <w:szCs w:val="24"/>
        </w:rPr>
        <w:t xml:space="preserve"> </w:t>
      </w:r>
      <w:r w:rsidR="008E061D" w:rsidRPr="00BF57CB">
        <w:rPr>
          <w:rFonts w:ascii="Times New Roman" w:hAnsi="Times New Roman" w:cs="Times New Roman"/>
          <w:b/>
          <w:sz w:val="24"/>
          <w:szCs w:val="24"/>
        </w:rPr>
        <w:t>Stosowna zgoda będzie wymagana w przypadku zwiększenia kwoty powyżej 20 % na poszczególne zakupy.</w:t>
      </w:r>
    </w:p>
    <w:p w:rsidR="003066CC" w:rsidRPr="003066CC" w:rsidRDefault="003066CC" w:rsidP="003066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6CC" w:rsidRDefault="00B1289C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 xml:space="preserve">Zmiany w specyfikacji wydatków i kalkulacji kosztów </w:t>
      </w:r>
      <w:r w:rsidR="003066CC">
        <w:rPr>
          <w:rFonts w:ascii="Times New Roman" w:hAnsi="Times New Roman" w:cs="Times New Roman"/>
          <w:sz w:val="24"/>
          <w:szCs w:val="24"/>
        </w:rPr>
        <w:t>załączonej we wniosku i w </w:t>
      </w:r>
      <w:r w:rsidRPr="003066CC">
        <w:rPr>
          <w:rFonts w:ascii="Times New Roman" w:hAnsi="Times New Roman" w:cs="Times New Roman"/>
          <w:sz w:val="24"/>
          <w:szCs w:val="24"/>
        </w:rPr>
        <w:t>rozliczenia zakupów wymagają zgody Dyrektora Urzędu w oparciu o pisemny wniosek</w:t>
      </w:r>
      <w:r w:rsidR="00BC65AF" w:rsidRPr="003066CC">
        <w:rPr>
          <w:rFonts w:ascii="Times New Roman" w:hAnsi="Times New Roman" w:cs="Times New Roman"/>
          <w:sz w:val="24"/>
          <w:szCs w:val="24"/>
        </w:rPr>
        <w:t xml:space="preserve"> </w:t>
      </w:r>
      <w:r w:rsidR="0025640D">
        <w:rPr>
          <w:rFonts w:ascii="Times New Roman" w:hAnsi="Times New Roman" w:cs="Times New Roman"/>
          <w:sz w:val="24"/>
          <w:szCs w:val="24"/>
        </w:rPr>
        <w:t>wnioskodawcy</w:t>
      </w:r>
      <w:r w:rsidRPr="003066CC">
        <w:rPr>
          <w:rFonts w:ascii="Times New Roman" w:hAnsi="Times New Roman" w:cs="Times New Roman"/>
          <w:sz w:val="24"/>
          <w:szCs w:val="24"/>
        </w:rPr>
        <w:t xml:space="preserve"> (dostępny na stronie internetowej Urzędu oraz w pok. </w:t>
      </w:r>
      <w:r w:rsidR="00BC65AF" w:rsidRPr="003066CC">
        <w:rPr>
          <w:rFonts w:ascii="Times New Roman" w:hAnsi="Times New Roman" w:cs="Times New Roman"/>
          <w:sz w:val="24"/>
          <w:szCs w:val="24"/>
        </w:rPr>
        <w:t>18)</w:t>
      </w:r>
      <w:r w:rsidRPr="003066CC">
        <w:rPr>
          <w:rFonts w:ascii="Times New Roman" w:hAnsi="Times New Roman" w:cs="Times New Roman"/>
          <w:sz w:val="24"/>
          <w:szCs w:val="24"/>
        </w:rPr>
        <w:t>. Zakup dokonany bez wymaganej zgody</w:t>
      </w:r>
      <w:r w:rsidR="00BC65AF" w:rsidRPr="003066CC">
        <w:rPr>
          <w:rFonts w:ascii="Times New Roman" w:hAnsi="Times New Roman" w:cs="Times New Roman"/>
          <w:sz w:val="24"/>
          <w:szCs w:val="24"/>
        </w:rPr>
        <w:t xml:space="preserve"> nie będzie uwzględniony do rozliczenia.</w:t>
      </w:r>
    </w:p>
    <w:p w:rsidR="003066CC" w:rsidRPr="003066CC" w:rsidRDefault="003066CC" w:rsidP="003066CC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3066CC" w:rsidRPr="003066CC" w:rsidRDefault="00F17DBD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eastAsia="Times New Roman" w:hAnsi="Times New Roman" w:cs="Times New Roman"/>
          <w:sz w:val="24"/>
          <w:szCs w:val="24"/>
        </w:rPr>
        <w:t>W przypadku dokonania zakupów za granicą</w:t>
      </w:r>
      <w:r w:rsidR="00C64A96" w:rsidRPr="003066CC">
        <w:rPr>
          <w:rFonts w:ascii="Times New Roman" w:eastAsia="Times New Roman" w:hAnsi="Times New Roman" w:cs="Times New Roman"/>
          <w:sz w:val="24"/>
          <w:szCs w:val="24"/>
        </w:rPr>
        <w:t xml:space="preserve">, należy przedstawić do wglądu </w:t>
      </w:r>
      <w:r w:rsidR="003066CC">
        <w:rPr>
          <w:rFonts w:ascii="Times New Roman" w:eastAsia="Times New Roman" w:hAnsi="Times New Roman" w:cs="Times New Roman"/>
          <w:sz w:val="24"/>
          <w:szCs w:val="24"/>
        </w:rPr>
        <w:t>do </w:t>
      </w:r>
      <w:r w:rsidR="00AB2117" w:rsidRPr="003066CC">
        <w:rPr>
          <w:rFonts w:ascii="Times New Roman" w:eastAsia="Times New Roman" w:hAnsi="Times New Roman" w:cs="Times New Roman"/>
          <w:sz w:val="24"/>
          <w:szCs w:val="24"/>
        </w:rPr>
        <w:t xml:space="preserve">rozliczenia </w:t>
      </w:r>
      <w:r w:rsidRPr="003066CC">
        <w:rPr>
          <w:rFonts w:ascii="Times New Roman" w:eastAsia="Times New Roman" w:hAnsi="Times New Roman" w:cs="Times New Roman"/>
          <w:sz w:val="24"/>
          <w:szCs w:val="24"/>
        </w:rPr>
        <w:t>przetłumaczony</w:t>
      </w:r>
      <w:r w:rsidR="0075386C" w:rsidRPr="003066CC">
        <w:rPr>
          <w:rFonts w:ascii="Times New Roman" w:eastAsia="Times New Roman" w:hAnsi="Times New Roman" w:cs="Times New Roman"/>
          <w:sz w:val="24"/>
          <w:szCs w:val="24"/>
        </w:rPr>
        <w:t xml:space="preserve"> na język polski dowód zakupu (</w:t>
      </w:r>
      <w:r w:rsidRPr="003066CC">
        <w:rPr>
          <w:rFonts w:ascii="Times New Roman" w:eastAsia="Times New Roman" w:hAnsi="Times New Roman" w:cs="Times New Roman"/>
          <w:sz w:val="24"/>
          <w:szCs w:val="24"/>
        </w:rPr>
        <w:t>tłumaczenie przez tłumacza przysięgłego)</w:t>
      </w:r>
      <w:r w:rsidR="00AB2117" w:rsidRPr="003066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86C" w:rsidRPr="003066CC">
        <w:rPr>
          <w:rFonts w:ascii="Times New Roman" w:eastAsia="Times New Roman" w:hAnsi="Times New Roman" w:cs="Times New Roman"/>
          <w:sz w:val="24"/>
          <w:szCs w:val="24"/>
        </w:rPr>
        <w:t xml:space="preserve"> Koszty poniesione na rzecz tłumacza przysięgłego nie są finansowane ze środków z dotacji.</w:t>
      </w:r>
    </w:p>
    <w:p w:rsidR="003066CC" w:rsidRPr="003066CC" w:rsidRDefault="003066CC" w:rsidP="003066CC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3066CC" w:rsidRPr="003066CC" w:rsidRDefault="00340163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eastAsia="Times New Roman" w:hAnsi="Times New Roman" w:cs="Times New Roman"/>
          <w:sz w:val="24"/>
          <w:szCs w:val="24"/>
        </w:rPr>
        <w:t>Nie zostaną uwzględnione w rozliczeniu wydatki dokumentowane w formie paragonów fiskalnych oraz faktur uproszczonych.</w:t>
      </w:r>
    </w:p>
    <w:p w:rsidR="003066CC" w:rsidRPr="003066CC" w:rsidRDefault="003066CC" w:rsidP="003066CC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3066CC" w:rsidRPr="003066CC" w:rsidRDefault="006D6E5B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eastAsia="Times New Roman" w:hAnsi="Times New Roman" w:cs="Times New Roman"/>
          <w:sz w:val="24"/>
          <w:szCs w:val="24"/>
        </w:rPr>
        <w:t xml:space="preserve">Wartość umów cywilnoprawnych musi przekraczać 1000 zł. Od dokonanej umowy kupna –sprzedaży musi być odprowadzony podatek od czynności cywilnoprawnych. </w:t>
      </w:r>
      <w:r w:rsidRPr="003066CC">
        <w:rPr>
          <w:rFonts w:ascii="Times New Roman" w:eastAsia="Times New Roman" w:hAnsi="Times New Roman" w:cs="Times New Roman"/>
          <w:sz w:val="24"/>
          <w:szCs w:val="24"/>
        </w:rPr>
        <w:lastRenderedPageBreak/>
        <w:t>Rzeczy zakupione na podstawie umów cywilnoprawnych wymagają wy</w:t>
      </w:r>
      <w:r w:rsidR="003066CC">
        <w:rPr>
          <w:rFonts w:ascii="Times New Roman" w:eastAsia="Times New Roman" w:hAnsi="Times New Roman" w:cs="Times New Roman"/>
          <w:sz w:val="24"/>
          <w:szCs w:val="24"/>
        </w:rPr>
        <w:t>ceny rzeczoznawcy majątkowego (koszt wyceny ponosi bezrobotny</w:t>
      </w:r>
      <w:r w:rsidRPr="003066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66CC" w:rsidRPr="003066CC" w:rsidRDefault="003066CC" w:rsidP="003066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65AF" w:rsidRDefault="00BB2265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>Umowa zawarta pomiędzy Dyrektorem</w:t>
      </w:r>
      <w:r w:rsidR="00AB2117" w:rsidRPr="003066CC">
        <w:rPr>
          <w:rFonts w:ascii="Times New Roman" w:hAnsi="Times New Roman" w:cs="Times New Roman"/>
          <w:sz w:val="24"/>
          <w:szCs w:val="24"/>
        </w:rPr>
        <w:t>,</w:t>
      </w:r>
      <w:r w:rsidRPr="003066CC">
        <w:rPr>
          <w:rFonts w:ascii="Times New Roman" w:hAnsi="Times New Roman" w:cs="Times New Roman"/>
          <w:sz w:val="24"/>
          <w:szCs w:val="24"/>
        </w:rPr>
        <w:t xml:space="preserve"> a </w:t>
      </w:r>
      <w:r w:rsidR="0025640D">
        <w:rPr>
          <w:rFonts w:ascii="Times New Roman" w:hAnsi="Times New Roman" w:cs="Times New Roman"/>
          <w:sz w:val="24"/>
          <w:szCs w:val="24"/>
        </w:rPr>
        <w:t>wnioskodawcą</w:t>
      </w:r>
      <w:r w:rsidRPr="003066CC">
        <w:rPr>
          <w:rFonts w:ascii="Times New Roman" w:hAnsi="Times New Roman" w:cs="Times New Roman"/>
          <w:sz w:val="24"/>
          <w:szCs w:val="24"/>
        </w:rPr>
        <w:t xml:space="preserve"> oraz jej zmiany wymaga</w:t>
      </w:r>
      <w:r w:rsidR="00AB2117" w:rsidRPr="003066CC">
        <w:rPr>
          <w:rFonts w:ascii="Times New Roman" w:hAnsi="Times New Roman" w:cs="Times New Roman"/>
          <w:sz w:val="24"/>
          <w:szCs w:val="24"/>
        </w:rPr>
        <w:t>ją</w:t>
      </w:r>
      <w:r w:rsidRPr="003066CC">
        <w:rPr>
          <w:rFonts w:ascii="Times New Roman" w:hAnsi="Times New Roman" w:cs="Times New Roman"/>
          <w:sz w:val="24"/>
          <w:szCs w:val="24"/>
        </w:rPr>
        <w:t xml:space="preserve"> formy </w:t>
      </w:r>
      <w:r w:rsidR="00911E7F" w:rsidRPr="003066CC">
        <w:rPr>
          <w:rFonts w:ascii="Times New Roman" w:hAnsi="Times New Roman" w:cs="Times New Roman"/>
          <w:sz w:val="24"/>
          <w:szCs w:val="24"/>
        </w:rPr>
        <w:t xml:space="preserve"> </w:t>
      </w:r>
      <w:r w:rsidRPr="003066CC">
        <w:rPr>
          <w:rFonts w:ascii="Times New Roman" w:hAnsi="Times New Roman" w:cs="Times New Roman"/>
          <w:sz w:val="24"/>
          <w:szCs w:val="24"/>
        </w:rPr>
        <w:t>pisemnej pod rygorem nieważności.</w:t>
      </w:r>
    </w:p>
    <w:p w:rsidR="007D1097" w:rsidRPr="007D1097" w:rsidRDefault="007D1097" w:rsidP="007D10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1097" w:rsidRPr="003066CC" w:rsidRDefault="007D1097" w:rsidP="0017787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na etapie rozpatrywania wniosku zastrzega sobie możliwość weryfikacji miejsca planowanej działalności gospodarczej.</w:t>
      </w:r>
    </w:p>
    <w:p w:rsidR="003066CC" w:rsidRDefault="003066CC" w:rsidP="00FB4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C7D" w:rsidRDefault="00145C7D" w:rsidP="00FB4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6CC" w:rsidRDefault="00A55CDD" w:rsidP="001778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CC">
        <w:rPr>
          <w:rFonts w:ascii="Times New Roman" w:hAnsi="Times New Roman" w:cs="Times New Roman"/>
          <w:b/>
          <w:sz w:val="24"/>
          <w:szCs w:val="24"/>
        </w:rPr>
        <w:t>Formy zabezpieczenia</w:t>
      </w:r>
    </w:p>
    <w:p w:rsidR="003066CC" w:rsidRDefault="003066CC" w:rsidP="00BB5D8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C49" w:rsidRPr="003066CC" w:rsidRDefault="00A55CDD" w:rsidP="00BB5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CC">
        <w:rPr>
          <w:rFonts w:ascii="Times New Roman" w:hAnsi="Times New Roman" w:cs="Times New Roman"/>
          <w:sz w:val="24"/>
          <w:szCs w:val="24"/>
        </w:rPr>
        <w:t xml:space="preserve">Dopuszczalne formy zabezpieczenia zwrotu przez </w:t>
      </w:r>
      <w:r w:rsidR="0025640D">
        <w:rPr>
          <w:rFonts w:ascii="Times New Roman" w:hAnsi="Times New Roman" w:cs="Times New Roman"/>
          <w:sz w:val="24"/>
          <w:szCs w:val="24"/>
        </w:rPr>
        <w:t>wnioskodawcę</w:t>
      </w:r>
      <w:r w:rsidRPr="003066CC">
        <w:rPr>
          <w:rFonts w:ascii="Times New Roman" w:hAnsi="Times New Roman" w:cs="Times New Roman"/>
          <w:sz w:val="24"/>
          <w:szCs w:val="24"/>
        </w:rPr>
        <w:t xml:space="preserve"> środków otrzymanych</w:t>
      </w:r>
      <w:r w:rsidR="003066CC" w:rsidRPr="003066CC">
        <w:rPr>
          <w:rFonts w:ascii="Times New Roman" w:hAnsi="Times New Roman" w:cs="Times New Roman"/>
          <w:sz w:val="24"/>
          <w:szCs w:val="24"/>
        </w:rPr>
        <w:t xml:space="preserve"> </w:t>
      </w:r>
      <w:r w:rsidR="003066CC">
        <w:rPr>
          <w:rFonts w:ascii="Times New Roman" w:hAnsi="Times New Roman" w:cs="Times New Roman"/>
          <w:sz w:val="24"/>
          <w:szCs w:val="24"/>
        </w:rPr>
        <w:t>na </w:t>
      </w:r>
      <w:r w:rsidRPr="003066CC">
        <w:rPr>
          <w:rFonts w:ascii="Times New Roman" w:hAnsi="Times New Roman" w:cs="Times New Roman"/>
          <w:sz w:val="24"/>
          <w:szCs w:val="24"/>
        </w:rPr>
        <w:t>pod</w:t>
      </w:r>
      <w:r w:rsidR="00DF1AEB" w:rsidRPr="003066CC">
        <w:rPr>
          <w:rFonts w:ascii="Times New Roman" w:hAnsi="Times New Roman" w:cs="Times New Roman"/>
          <w:sz w:val="24"/>
          <w:szCs w:val="24"/>
        </w:rPr>
        <w:t>jęcie działalności gospodarczej</w:t>
      </w:r>
      <w:r w:rsidRPr="003066CC">
        <w:rPr>
          <w:rFonts w:ascii="Times New Roman" w:hAnsi="Times New Roman" w:cs="Times New Roman"/>
          <w:sz w:val="24"/>
          <w:szCs w:val="24"/>
        </w:rPr>
        <w:t>, to:</w:t>
      </w:r>
    </w:p>
    <w:p w:rsidR="00A55CDD" w:rsidRPr="00453C49" w:rsidRDefault="003066CC" w:rsidP="00177879">
      <w:pPr>
        <w:pStyle w:val="Akapitzlist"/>
        <w:numPr>
          <w:ilvl w:val="0"/>
          <w:numId w:val="8"/>
        </w:num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poręczenie,</w:t>
      </w:r>
    </w:p>
    <w:p w:rsidR="00E4535F" w:rsidRDefault="00E4535F" w:rsidP="00177879">
      <w:pPr>
        <w:pStyle w:val="Akapitzlist"/>
        <w:numPr>
          <w:ilvl w:val="0"/>
          <w:numId w:val="1"/>
        </w:num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blokada </w:t>
      </w:r>
      <w:r w:rsidR="00FC323A">
        <w:rPr>
          <w:rFonts w:ascii="Times New Roman" w:hAnsi="Times New Roman" w:cs="Times New Roman"/>
          <w:sz w:val="24"/>
          <w:szCs w:val="24"/>
        </w:rPr>
        <w:t>środków zgromadzonych na rachunku bankowym</w:t>
      </w:r>
      <w:r w:rsidR="003066CC">
        <w:rPr>
          <w:rFonts w:ascii="Times New Roman" w:hAnsi="Times New Roman" w:cs="Times New Roman"/>
          <w:sz w:val="24"/>
          <w:szCs w:val="24"/>
        </w:rPr>
        <w:t>,</w:t>
      </w:r>
    </w:p>
    <w:p w:rsidR="00E4535F" w:rsidRDefault="00E4535F" w:rsidP="00177879">
      <w:pPr>
        <w:pStyle w:val="Akapitzlist"/>
        <w:numPr>
          <w:ilvl w:val="0"/>
          <w:numId w:val="1"/>
        </w:numPr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bankowa</w:t>
      </w:r>
      <w:r w:rsidR="007D1097">
        <w:rPr>
          <w:rFonts w:ascii="Times New Roman" w:hAnsi="Times New Roman" w:cs="Times New Roman"/>
          <w:sz w:val="24"/>
          <w:szCs w:val="24"/>
        </w:rPr>
        <w:t>.</w:t>
      </w:r>
    </w:p>
    <w:p w:rsidR="003066CC" w:rsidRDefault="003066CC" w:rsidP="003066CC">
      <w:pPr>
        <w:pStyle w:val="Tekstpodstawowywcity"/>
        <w:tabs>
          <w:tab w:val="left" w:pos="720"/>
        </w:tabs>
        <w:rPr>
          <w:b/>
          <w:color w:val="000000"/>
        </w:rPr>
      </w:pPr>
    </w:p>
    <w:p w:rsidR="005B3071" w:rsidRDefault="00453C49" w:rsidP="003066CC">
      <w:pPr>
        <w:pStyle w:val="Tekstpodstawowywcity"/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Poręczenie</w:t>
      </w:r>
    </w:p>
    <w:p w:rsidR="00262DF8" w:rsidRDefault="00262DF8" w:rsidP="00FB4B4D">
      <w:pPr>
        <w:pStyle w:val="Tekstpodstawowywcity"/>
        <w:tabs>
          <w:tab w:val="left" w:pos="720"/>
        </w:tabs>
        <w:rPr>
          <w:color w:val="000000"/>
        </w:rPr>
      </w:pPr>
      <w:r w:rsidRPr="00262DF8">
        <w:rPr>
          <w:b/>
          <w:color w:val="000000"/>
        </w:rPr>
        <w:t xml:space="preserve"> </w:t>
      </w:r>
    </w:p>
    <w:p w:rsidR="00262DF8" w:rsidRDefault="00262DF8" w:rsidP="00FB4B4D">
      <w:pPr>
        <w:pStyle w:val="Tekstpodstawowywcity"/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Poręczycielami mogą być osoby fizyczne w wieku </w:t>
      </w:r>
      <w:r w:rsidRPr="0021226C">
        <w:rPr>
          <w:color w:val="000000"/>
        </w:rPr>
        <w:t xml:space="preserve">do </w:t>
      </w:r>
      <w:r w:rsidR="00280A49" w:rsidRPr="0021226C">
        <w:rPr>
          <w:color w:val="000000"/>
        </w:rPr>
        <w:t>65</w:t>
      </w:r>
      <w:r w:rsidRPr="0021226C">
        <w:rPr>
          <w:color w:val="000000"/>
        </w:rPr>
        <w:t xml:space="preserve"> lat</w:t>
      </w:r>
      <w:r w:rsidR="00AB2117">
        <w:rPr>
          <w:color w:val="000000"/>
        </w:rPr>
        <w:t>, w stosunku do których nie </w:t>
      </w:r>
      <w:r>
        <w:rPr>
          <w:color w:val="000000"/>
        </w:rPr>
        <w:t xml:space="preserve">toczy się postępowanie egzekucyjne lub sądowe z tytułu niespłaconych zobowiązań pieniężnych, które: </w:t>
      </w:r>
    </w:p>
    <w:p w:rsidR="003066CC" w:rsidRDefault="003066CC" w:rsidP="00FB4B4D">
      <w:pPr>
        <w:pStyle w:val="Tekstpodstawowywcity"/>
        <w:tabs>
          <w:tab w:val="left" w:pos="720"/>
        </w:tabs>
        <w:rPr>
          <w:color w:val="000000"/>
        </w:rPr>
      </w:pPr>
    </w:p>
    <w:p w:rsidR="00262DF8" w:rsidRDefault="00262DF8" w:rsidP="00177879">
      <w:pPr>
        <w:pStyle w:val="Tekstpodstawowywcity"/>
        <w:numPr>
          <w:ilvl w:val="1"/>
          <w:numId w:val="2"/>
        </w:numPr>
        <w:tabs>
          <w:tab w:val="clear" w:pos="720"/>
        </w:tabs>
        <w:ind w:left="993"/>
        <w:rPr>
          <w:color w:val="000000"/>
        </w:rPr>
      </w:pPr>
      <w:r>
        <w:rPr>
          <w:color w:val="000000"/>
        </w:rPr>
        <w:t xml:space="preserve">pozostają w stosunku pracy z pracodawcą nie </w:t>
      </w:r>
      <w:r w:rsidR="001474BE">
        <w:rPr>
          <w:color w:val="000000"/>
        </w:rPr>
        <w:t>będącym w stanie likwidacji lub </w:t>
      </w:r>
      <w:r>
        <w:rPr>
          <w:color w:val="000000"/>
        </w:rPr>
        <w:t>upadłości, zatrudnieni na czas nieokreślony lub okre</w:t>
      </w:r>
      <w:r w:rsidR="00AB2117">
        <w:rPr>
          <w:color w:val="000000"/>
        </w:rPr>
        <w:t>ślony (minimum 2 lata licząc od </w:t>
      </w:r>
      <w:r>
        <w:rPr>
          <w:color w:val="000000"/>
        </w:rPr>
        <w:t>dnia podpisania umowy</w:t>
      </w:r>
      <w:r w:rsidR="00904153">
        <w:rPr>
          <w:color w:val="000000"/>
        </w:rPr>
        <w:t xml:space="preserve"> o przyznanie środków na podjęcie działalności gospodarczej</w:t>
      </w:r>
      <w:r>
        <w:rPr>
          <w:color w:val="000000"/>
        </w:rPr>
        <w:t>) nie będących w okresie wypowiedzenia,</w:t>
      </w:r>
    </w:p>
    <w:p w:rsidR="00262DF8" w:rsidRDefault="00262DF8" w:rsidP="00FB4B4D">
      <w:pPr>
        <w:pStyle w:val="Tekstpodstawowywcity"/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    lub / i</w:t>
      </w:r>
    </w:p>
    <w:p w:rsidR="00262DF8" w:rsidRPr="003E5FAE" w:rsidRDefault="00262DF8" w:rsidP="00177879">
      <w:pPr>
        <w:pStyle w:val="Tekstpodstawowywcity"/>
        <w:numPr>
          <w:ilvl w:val="0"/>
          <w:numId w:val="3"/>
        </w:numPr>
        <w:ind w:left="993"/>
        <w:rPr>
          <w:color w:val="000000"/>
        </w:rPr>
      </w:pPr>
      <w:r>
        <w:rPr>
          <w:color w:val="000000"/>
        </w:rPr>
        <w:t xml:space="preserve">prowadzą działalność gospodarczą przez okres minimum 12 miesięcy przed dniem </w:t>
      </w:r>
      <w:r w:rsidR="0075386C">
        <w:rPr>
          <w:color w:val="000000"/>
        </w:rPr>
        <w:t>podpisania umowy o przyznanie dotacji na rozpoczęcia działalności gospodarczej</w:t>
      </w:r>
      <w:r>
        <w:rPr>
          <w:color w:val="000000"/>
        </w:rPr>
        <w:t xml:space="preserve">, która nie jest w stanie likwidacji lub upadłości </w:t>
      </w:r>
      <w:r w:rsidR="003066CC">
        <w:rPr>
          <w:color w:val="000000"/>
        </w:rPr>
        <w:t>oraz nie posiadają zaległości w </w:t>
      </w:r>
      <w:r>
        <w:rPr>
          <w:color w:val="000000"/>
        </w:rPr>
        <w:t xml:space="preserve">opłacaniu składek </w:t>
      </w:r>
      <w:r w:rsidRPr="005D1CB9">
        <w:rPr>
          <w:lang w:eastAsia="pl-PL"/>
        </w:rPr>
        <w:t>na ubezpieczenia społeczne, zdrowotne, Fundusz Pracy, Fundusz</w:t>
      </w:r>
      <w:r>
        <w:rPr>
          <w:lang w:eastAsia="pl-PL"/>
        </w:rPr>
        <w:t xml:space="preserve"> Gwarantowanych Świadczeń Pracowniczych oraz innych danin publicznych,</w:t>
      </w:r>
    </w:p>
    <w:p w:rsidR="00262DF8" w:rsidRDefault="00262DF8" w:rsidP="00FB4B4D">
      <w:pPr>
        <w:pStyle w:val="Tekstpodstawowywcity"/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    lub / i</w:t>
      </w:r>
    </w:p>
    <w:p w:rsidR="00F044A7" w:rsidRDefault="00262DF8" w:rsidP="00177879">
      <w:pPr>
        <w:pStyle w:val="Tekstpodstawowywcity"/>
        <w:numPr>
          <w:ilvl w:val="1"/>
          <w:numId w:val="2"/>
        </w:numPr>
        <w:tabs>
          <w:tab w:val="clear" w:pos="720"/>
        </w:tabs>
        <w:ind w:left="993"/>
        <w:rPr>
          <w:color w:val="000000"/>
        </w:rPr>
      </w:pPr>
      <w:r w:rsidRPr="00F044A7">
        <w:rPr>
          <w:color w:val="000000"/>
        </w:rPr>
        <w:t>mają przyznane prawa do emerytury</w:t>
      </w:r>
      <w:r w:rsidR="00F044A7">
        <w:rPr>
          <w:color w:val="000000"/>
        </w:rPr>
        <w:t>,</w:t>
      </w:r>
    </w:p>
    <w:p w:rsidR="00F044A7" w:rsidRDefault="00F044A7" w:rsidP="00177879">
      <w:pPr>
        <w:pStyle w:val="Tekstpodstawowywcity"/>
        <w:numPr>
          <w:ilvl w:val="1"/>
          <w:numId w:val="2"/>
        </w:numPr>
        <w:tabs>
          <w:tab w:val="clear" w:pos="720"/>
        </w:tabs>
        <w:ind w:left="993"/>
        <w:rPr>
          <w:color w:val="000000"/>
        </w:rPr>
      </w:pPr>
      <w:r>
        <w:rPr>
          <w:color w:val="000000"/>
        </w:rPr>
        <w:t>mają przyznane</w:t>
      </w:r>
      <w:r w:rsidR="008F7007">
        <w:rPr>
          <w:color w:val="000000"/>
        </w:rPr>
        <w:t xml:space="preserve"> na stałe</w:t>
      </w:r>
      <w:r>
        <w:rPr>
          <w:color w:val="000000"/>
        </w:rPr>
        <w:t xml:space="preserve"> prawo do renty rodzinnej,</w:t>
      </w:r>
    </w:p>
    <w:p w:rsidR="00F044A7" w:rsidRDefault="00F044A7" w:rsidP="00177879">
      <w:pPr>
        <w:pStyle w:val="Tekstpodstawowywcity"/>
        <w:numPr>
          <w:ilvl w:val="1"/>
          <w:numId w:val="2"/>
        </w:numPr>
        <w:tabs>
          <w:tab w:val="clear" w:pos="720"/>
        </w:tabs>
        <w:ind w:left="993"/>
        <w:rPr>
          <w:color w:val="000000"/>
        </w:rPr>
      </w:pPr>
      <w:r>
        <w:rPr>
          <w:color w:val="000000"/>
        </w:rPr>
        <w:t>mają przyznane prawo do renty inwalidzkiej na okres nie krótszy niż 3 lata począwszy od dnia podpisania umowy o przyznanie jednorazowo środków na</w:t>
      </w:r>
      <w:r w:rsidR="001474BE">
        <w:rPr>
          <w:color w:val="000000"/>
        </w:rPr>
        <w:t> </w:t>
      </w:r>
      <w:r>
        <w:rPr>
          <w:color w:val="000000"/>
        </w:rPr>
        <w:t>podjęcie działalności gospodarczej.</w:t>
      </w:r>
    </w:p>
    <w:p w:rsidR="00262DF8" w:rsidRPr="00F044A7" w:rsidRDefault="00262DF8" w:rsidP="00F044A7">
      <w:pPr>
        <w:pStyle w:val="Tekstpodstawowywcity"/>
        <w:ind w:left="709"/>
        <w:rPr>
          <w:color w:val="000000"/>
        </w:rPr>
      </w:pPr>
      <w:r w:rsidRPr="00F044A7">
        <w:rPr>
          <w:color w:val="000000"/>
        </w:rPr>
        <w:t xml:space="preserve"> </w:t>
      </w:r>
    </w:p>
    <w:p w:rsidR="00262DF8" w:rsidRDefault="00262DF8" w:rsidP="00FB4B4D">
      <w:pPr>
        <w:pStyle w:val="Tekstpodstawowywcity"/>
        <w:ind w:left="0"/>
        <w:rPr>
          <w:color w:val="000000"/>
        </w:rPr>
      </w:pPr>
      <w:r>
        <w:rPr>
          <w:color w:val="000000"/>
        </w:rPr>
        <w:t>Poręczycielem nie może być współmałżonek bezrobotnego chyba, że małżonkowie   posiadają rozdzielność majątkową w formie aktu notarialnego lub rozdzielność ta jest stwierdzona wyrokiem sądowym.</w:t>
      </w:r>
    </w:p>
    <w:p w:rsidR="00262DF8" w:rsidRDefault="00262DF8" w:rsidP="00FB4B4D">
      <w:pPr>
        <w:pStyle w:val="Tekstpodstawowywcity"/>
        <w:ind w:left="0"/>
        <w:rPr>
          <w:color w:val="000000"/>
        </w:rPr>
      </w:pPr>
    </w:p>
    <w:p w:rsidR="00262DF8" w:rsidRPr="00F17DBD" w:rsidRDefault="00262DF8" w:rsidP="00FB4B4D">
      <w:pPr>
        <w:pStyle w:val="Tekstpodstawowywcity"/>
        <w:ind w:left="0"/>
        <w:rPr>
          <w:color w:val="000000"/>
        </w:rPr>
      </w:pPr>
      <w:r>
        <w:rPr>
          <w:color w:val="000000"/>
        </w:rPr>
        <w:lastRenderedPageBreak/>
        <w:t xml:space="preserve">Łączna wysokość miesięcznego </w:t>
      </w:r>
      <w:r w:rsidRPr="00F17DBD">
        <w:rPr>
          <w:color w:val="000000"/>
          <w:u w:val="single"/>
        </w:rPr>
        <w:t>dochodu netto</w:t>
      </w:r>
      <w:r w:rsidR="00854D72">
        <w:rPr>
          <w:color w:val="000000"/>
          <w:u w:val="single"/>
        </w:rPr>
        <w:t xml:space="preserve"> osiąganego przez poręczyciela z jednego źródła</w:t>
      </w:r>
      <w:r w:rsidR="00854D72" w:rsidRPr="00854D72">
        <w:rPr>
          <w:color w:val="000000"/>
        </w:rPr>
        <w:t xml:space="preserve"> (tj. albo w formie wynagrodzenie, albo z tytułu prowadzonej działalności gosp</w:t>
      </w:r>
      <w:r w:rsidR="007C1A13">
        <w:rPr>
          <w:color w:val="000000"/>
        </w:rPr>
        <w:t>odarczej, albo z emerytury lub</w:t>
      </w:r>
      <w:r w:rsidR="00854D72" w:rsidRPr="00854D72">
        <w:rPr>
          <w:color w:val="000000"/>
        </w:rPr>
        <w:t xml:space="preserve"> z renty)</w:t>
      </w:r>
      <w:r>
        <w:rPr>
          <w:color w:val="000000"/>
        </w:rPr>
        <w:t xml:space="preserve">, po spłacie ewentualnych comiesięcznych zobowiązań wobec banków lub innych instytucji, musi wynosić </w:t>
      </w:r>
      <w:r w:rsidRPr="00F17DBD">
        <w:rPr>
          <w:color w:val="000000"/>
        </w:rPr>
        <w:t xml:space="preserve">nie mniej niż </w:t>
      </w:r>
      <w:r w:rsidR="00284264" w:rsidRPr="005B422A">
        <w:rPr>
          <w:b/>
          <w:color w:val="000000"/>
        </w:rPr>
        <w:t>2</w:t>
      </w:r>
      <w:r w:rsidR="001474BE" w:rsidRPr="005B422A">
        <w:rPr>
          <w:b/>
          <w:color w:val="000000"/>
        </w:rPr>
        <w:t xml:space="preserve"> </w:t>
      </w:r>
      <w:r w:rsidR="00284264" w:rsidRPr="005B422A">
        <w:rPr>
          <w:b/>
          <w:color w:val="000000"/>
        </w:rPr>
        <w:t>2</w:t>
      </w:r>
      <w:r w:rsidRPr="005B422A">
        <w:rPr>
          <w:b/>
          <w:color w:val="000000"/>
        </w:rPr>
        <w:t>00 zł</w:t>
      </w:r>
      <w:r w:rsidR="00AB2117" w:rsidRPr="005B422A">
        <w:rPr>
          <w:b/>
          <w:color w:val="000000"/>
        </w:rPr>
        <w:t xml:space="preserve"> </w:t>
      </w:r>
      <w:r w:rsidR="00BB11E3" w:rsidRPr="005B422A">
        <w:rPr>
          <w:b/>
          <w:color w:val="000000"/>
        </w:rPr>
        <w:t>.</w:t>
      </w:r>
    </w:p>
    <w:p w:rsidR="00262DF8" w:rsidRDefault="00262DF8" w:rsidP="00FB4B4D">
      <w:pPr>
        <w:pStyle w:val="Tekstpodstawowywcity"/>
        <w:ind w:left="0"/>
        <w:rPr>
          <w:color w:val="000000"/>
        </w:rPr>
      </w:pPr>
    </w:p>
    <w:p w:rsidR="00C64A96" w:rsidRDefault="00262DF8" w:rsidP="00FB4B4D">
      <w:pPr>
        <w:pStyle w:val="Tekstpodstawowywcity"/>
        <w:ind w:left="0"/>
        <w:rPr>
          <w:color w:val="000000"/>
        </w:rPr>
      </w:pPr>
      <w:r w:rsidRPr="00E33485">
        <w:rPr>
          <w:color w:val="000000"/>
        </w:rPr>
        <w:t>W celu udokum</w:t>
      </w:r>
      <w:r>
        <w:rPr>
          <w:color w:val="000000"/>
        </w:rPr>
        <w:t>entowania dochodów poręczyciele</w:t>
      </w:r>
      <w:r w:rsidRPr="00E33485">
        <w:rPr>
          <w:color w:val="000000"/>
        </w:rPr>
        <w:t xml:space="preserve"> </w:t>
      </w:r>
      <w:r>
        <w:rPr>
          <w:color w:val="000000"/>
        </w:rPr>
        <w:t>składają oświadczenie</w:t>
      </w:r>
      <w:r w:rsidR="001474BE">
        <w:rPr>
          <w:color w:val="000000"/>
        </w:rPr>
        <w:t xml:space="preserve"> pod </w:t>
      </w:r>
      <w:r>
        <w:rPr>
          <w:color w:val="000000"/>
        </w:rPr>
        <w:t>odpowiedzialnością karną o uzyskiwanych dochodach ze wskazaniem źródła i kwoty dochodu oraz o aktualnych zobowiązaniach finansowych z określeniem wysokości miesięcznej spłaty zadłużenia.</w:t>
      </w:r>
    </w:p>
    <w:p w:rsidR="0075386C" w:rsidRDefault="0075386C" w:rsidP="00FB4B4D">
      <w:pPr>
        <w:pStyle w:val="Tekstpodstawowywcity"/>
        <w:ind w:left="0"/>
        <w:rPr>
          <w:color w:val="000000"/>
        </w:rPr>
      </w:pPr>
    </w:p>
    <w:p w:rsidR="0075386C" w:rsidRPr="0075386C" w:rsidRDefault="0075386C" w:rsidP="00753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Zabezpieczenie, </w:t>
      </w:r>
      <w:r w:rsidRPr="00262D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wymaga dodatkowo zgody współmałżonków poręczycieli</w:t>
      </w:r>
      <w:r w:rsidR="001474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oraz współmałżonka </w:t>
      </w:r>
      <w:r w:rsidR="00760F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wnioskodawcy</w:t>
      </w:r>
      <w:r w:rsidR="001474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złożonej na </w:t>
      </w:r>
      <w:r w:rsidRPr="00262D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umowie. Zgoda współmałżonków nie jest wymagana w przypadku, gdy istnieje umowa o </w:t>
      </w:r>
      <w:r w:rsidRPr="00262D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rozdzielności majątkowej w formie aktu notarialnego lub rozdzielność ta jest stwierdzona wyrokiem sądowym. Należy wówczas złożyć akt notarialny lub wyrok </w:t>
      </w:r>
      <w:r w:rsidRPr="00262DF8">
        <w:rPr>
          <w:rFonts w:ascii="Times New Roman" w:eastAsia="Calibri" w:hAnsi="Times New Roman" w:cs="Times New Roman"/>
          <w:sz w:val="24"/>
          <w:szCs w:val="24"/>
        </w:rPr>
        <w:t>(kopię + oryginał do potwierdzenia).</w:t>
      </w:r>
    </w:p>
    <w:p w:rsidR="00D247BE" w:rsidRDefault="00D247BE" w:rsidP="00FB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4BE" w:rsidRDefault="001474BE" w:rsidP="001474BE">
      <w:pPr>
        <w:pStyle w:val="NormalnyWeb"/>
        <w:jc w:val="both"/>
        <w:rPr>
          <w:rStyle w:val="Pogrubienie"/>
        </w:rPr>
      </w:pPr>
    </w:p>
    <w:p w:rsidR="00262DF8" w:rsidRDefault="00453C49" w:rsidP="001474BE">
      <w:pPr>
        <w:pStyle w:val="NormalnyWeb"/>
        <w:jc w:val="both"/>
      </w:pPr>
      <w:r>
        <w:rPr>
          <w:rStyle w:val="Pogrubienie"/>
        </w:rPr>
        <w:t>B</w:t>
      </w:r>
      <w:r w:rsidR="00FC323A">
        <w:rPr>
          <w:rStyle w:val="Pogrubienie"/>
        </w:rPr>
        <w:t>lokada środków zgromadzonych na rachunku bankowym</w:t>
      </w:r>
      <w:r w:rsidR="00963BD2">
        <w:rPr>
          <w:rStyle w:val="Pogrubienie"/>
        </w:rPr>
        <w:t>, gwarancja bankowa</w:t>
      </w:r>
    </w:p>
    <w:p w:rsidR="00BE1AEA" w:rsidRDefault="00262DF8" w:rsidP="00887DF4">
      <w:pPr>
        <w:pStyle w:val="NormalnyWeb"/>
        <w:jc w:val="both"/>
      </w:pPr>
      <w:r>
        <w:t xml:space="preserve">Kwota zablokowanych lub gwarantowanych przez bank środków będzie podwyższona o </w:t>
      </w:r>
      <w:r w:rsidR="00BF47A1">
        <w:t>5</w:t>
      </w:r>
      <w:r>
        <w:t xml:space="preserve">0% kwoty przyznanej w ramach dotacji. Zabezpieczenie winno być dokonane na okres minimum </w:t>
      </w:r>
      <w:r w:rsidR="00963BD2">
        <w:t>2</w:t>
      </w:r>
      <w:r>
        <w:t xml:space="preserve"> lat.</w:t>
      </w:r>
    </w:p>
    <w:p w:rsidR="001474BE" w:rsidRDefault="001474BE" w:rsidP="001474BE">
      <w:pPr>
        <w:pStyle w:val="NormalnyWeb"/>
        <w:jc w:val="both"/>
      </w:pPr>
    </w:p>
    <w:p w:rsidR="001474BE" w:rsidRDefault="002E6E38" w:rsidP="00917B96">
      <w:pPr>
        <w:pStyle w:val="NormalnyWeb"/>
        <w:numPr>
          <w:ilvl w:val="0"/>
          <w:numId w:val="9"/>
        </w:numPr>
        <w:jc w:val="both"/>
      </w:pPr>
      <w:r w:rsidRPr="001474BE">
        <w:t xml:space="preserve">Ostateczne decyzje w sprawie formy zabezpieczenia w tym ilości poręczycieli podejmuje Dyrektor uwzględniając adekwatność formy zabezpieczenia pod kątem możliwości </w:t>
      </w:r>
      <w:r w:rsidR="0085137A">
        <w:t>wyegzekwowania</w:t>
      </w:r>
      <w:r w:rsidRPr="001474BE">
        <w:t xml:space="preserve"> ewentualnych nienależnych świadczeń.</w:t>
      </w:r>
    </w:p>
    <w:p w:rsidR="00917B96" w:rsidRDefault="00917B96" w:rsidP="00917B96">
      <w:pPr>
        <w:pStyle w:val="NormalnyWeb"/>
        <w:ind w:left="720"/>
        <w:jc w:val="both"/>
      </w:pPr>
    </w:p>
    <w:p w:rsidR="003D3E28" w:rsidRPr="007F4B43" w:rsidRDefault="000A055D" w:rsidP="00177879">
      <w:pPr>
        <w:pStyle w:val="NormalnyWeb"/>
        <w:numPr>
          <w:ilvl w:val="0"/>
          <w:numId w:val="9"/>
        </w:numPr>
        <w:jc w:val="both"/>
      </w:pPr>
      <w:r>
        <w:t>Stanowisko Urzędu w sprawie rozpatrzenia wniosku o pr</w:t>
      </w:r>
      <w:r w:rsidR="001474BE">
        <w:t xml:space="preserve">zyznanie jednorazowo środków </w:t>
      </w:r>
      <w:r>
        <w:t>na podjęcie działalności gospodarczej nie jes</w:t>
      </w:r>
      <w:r w:rsidR="001474BE">
        <w:t>t decyzją administracyjną i nie </w:t>
      </w:r>
      <w:r>
        <w:t>przysługuje od niej odwołanie.</w:t>
      </w:r>
    </w:p>
    <w:p w:rsidR="00A125A4" w:rsidRDefault="00A125A4" w:rsidP="007E54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522D" w:rsidRDefault="00F2522D" w:rsidP="007E54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522D" w:rsidRDefault="00F2522D" w:rsidP="007E54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522D" w:rsidRDefault="00F2522D" w:rsidP="007E54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522D" w:rsidRDefault="00F2522D" w:rsidP="00F2522D">
      <w:pPr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 Powiatowego Urzędu Pracy</w:t>
      </w:r>
    </w:p>
    <w:p w:rsidR="00F2522D" w:rsidRDefault="00F2522D" w:rsidP="00F2522D">
      <w:pPr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Małgorzata Adamczyk - Kurzak</w:t>
      </w:r>
    </w:p>
    <w:p w:rsidR="00F2522D" w:rsidRPr="0075386C" w:rsidRDefault="00F2522D" w:rsidP="007E541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22D" w:rsidRPr="0075386C" w:rsidSect="00A54C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8F" w:rsidRDefault="0086118F" w:rsidP="000D5D83">
      <w:pPr>
        <w:spacing w:after="0" w:line="240" w:lineRule="auto"/>
      </w:pPr>
      <w:r>
        <w:separator/>
      </w:r>
    </w:p>
  </w:endnote>
  <w:endnote w:type="continuationSeparator" w:id="0">
    <w:p w:rsidR="0086118F" w:rsidRDefault="0086118F" w:rsidP="000D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94" w:rsidRDefault="00FE2394">
    <w:pPr>
      <w:pStyle w:val="Stopka"/>
      <w:jc w:val="right"/>
    </w:pPr>
  </w:p>
  <w:p w:rsidR="00FE2394" w:rsidRDefault="00FE2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8F" w:rsidRDefault="0086118F" w:rsidP="000D5D83">
      <w:pPr>
        <w:spacing w:after="0" w:line="240" w:lineRule="auto"/>
      </w:pPr>
      <w:r>
        <w:separator/>
      </w:r>
    </w:p>
  </w:footnote>
  <w:footnote w:type="continuationSeparator" w:id="0">
    <w:p w:rsidR="0086118F" w:rsidRDefault="0086118F" w:rsidP="000D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867"/>
    <w:multiLevelType w:val="hybridMultilevel"/>
    <w:tmpl w:val="B81EF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59"/>
    <w:multiLevelType w:val="multilevel"/>
    <w:tmpl w:val="8E18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74048D"/>
    <w:multiLevelType w:val="hybridMultilevel"/>
    <w:tmpl w:val="9816F1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10724"/>
    <w:multiLevelType w:val="hybridMultilevel"/>
    <w:tmpl w:val="222EC98C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11D7177"/>
    <w:multiLevelType w:val="hybridMultilevel"/>
    <w:tmpl w:val="0DB64C0A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5" w15:restartNumberingAfterBreak="0">
    <w:nsid w:val="376C6B53"/>
    <w:multiLevelType w:val="hybridMultilevel"/>
    <w:tmpl w:val="2F8090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52930"/>
    <w:multiLevelType w:val="hybridMultilevel"/>
    <w:tmpl w:val="09D8F8B2"/>
    <w:lvl w:ilvl="0" w:tplc="041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4A5E403A"/>
    <w:multiLevelType w:val="hybridMultilevel"/>
    <w:tmpl w:val="086EC8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037FB"/>
    <w:multiLevelType w:val="hybridMultilevel"/>
    <w:tmpl w:val="58DC44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96CEA"/>
    <w:multiLevelType w:val="hybridMultilevel"/>
    <w:tmpl w:val="1D3A9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73D9"/>
    <w:multiLevelType w:val="hybridMultilevel"/>
    <w:tmpl w:val="5BE017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D4458"/>
    <w:multiLevelType w:val="hybridMultilevel"/>
    <w:tmpl w:val="D9449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67F5"/>
    <w:multiLevelType w:val="hybridMultilevel"/>
    <w:tmpl w:val="360E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B11E8"/>
    <w:multiLevelType w:val="hybridMultilevel"/>
    <w:tmpl w:val="427AA2F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B20"/>
    <w:rsid w:val="000015FD"/>
    <w:rsid w:val="00002CEE"/>
    <w:rsid w:val="0000453C"/>
    <w:rsid w:val="00015E21"/>
    <w:rsid w:val="00056414"/>
    <w:rsid w:val="00060511"/>
    <w:rsid w:val="00067E8E"/>
    <w:rsid w:val="000761AA"/>
    <w:rsid w:val="00090233"/>
    <w:rsid w:val="00092692"/>
    <w:rsid w:val="00093A59"/>
    <w:rsid w:val="000A055D"/>
    <w:rsid w:val="000A3D29"/>
    <w:rsid w:val="000A6CC5"/>
    <w:rsid w:val="000C54B2"/>
    <w:rsid w:val="000D5D83"/>
    <w:rsid w:val="000D67AD"/>
    <w:rsid w:val="000F27AF"/>
    <w:rsid w:val="000F5F46"/>
    <w:rsid w:val="001063CE"/>
    <w:rsid w:val="00132688"/>
    <w:rsid w:val="00132856"/>
    <w:rsid w:val="00135D71"/>
    <w:rsid w:val="00145C7D"/>
    <w:rsid w:val="001474BE"/>
    <w:rsid w:val="00152128"/>
    <w:rsid w:val="00154106"/>
    <w:rsid w:val="00154A1F"/>
    <w:rsid w:val="00163900"/>
    <w:rsid w:val="00172D8C"/>
    <w:rsid w:val="00174944"/>
    <w:rsid w:val="00177879"/>
    <w:rsid w:val="00183379"/>
    <w:rsid w:val="00184F39"/>
    <w:rsid w:val="0019725F"/>
    <w:rsid w:val="001A3CE3"/>
    <w:rsid w:val="001A4429"/>
    <w:rsid w:val="001B46CC"/>
    <w:rsid w:val="001B69F4"/>
    <w:rsid w:val="001C0C0A"/>
    <w:rsid w:val="001C2385"/>
    <w:rsid w:val="001C41B7"/>
    <w:rsid w:val="001E3F58"/>
    <w:rsid w:val="0021226C"/>
    <w:rsid w:val="00223B8C"/>
    <w:rsid w:val="00226590"/>
    <w:rsid w:val="00243C67"/>
    <w:rsid w:val="0025640D"/>
    <w:rsid w:val="00262DF8"/>
    <w:rsid w:val="002711A1"/>
    <w:rsid w:val="0027466D"/>
    <w:rsid w:val="00280A49"/>
    <w:rsid w:val="00284264"/>
    <w:rsid w:val="00296705"/>
    <w:rsid w:val="002A0D15"/>
    <w:rsid w:val="002B02F8"/>
    <w:rsid w:val="002B7310"/>
    <w:rsid w:val="002C56FA"/>
    <w:rsid w:val="002E3652"/>
    <w:rsid w:val="002E6E04"/>
    <w:rsid w:val="002E6E38"/>
    <w:rsid w:val="002F2689"/>
    <w:rsid w:val="002F5F5A"/>
    <w:rsid w:val="0030304C"/>
    <w:rsid w:val="003066CC"/>
    <w:rsid w:val="00327C4D"/>
    <w:rsid w:val="00330BBA"/>
    <w:rsid w:val="0033278C"/>
    <w:rsid w:val="00336034"/>
    <w:rsid w:val="00340163"/>
    <w:rsid w:val="003460A0"/>
    <w:rsid w:val="003638C6"/>
    <w:rsid w:val="00364922"/>
    <w:rsid w:val="00383CE5"/>
    <w:rsid w:val="0038607A"/>
    <w:rsid w:val="00387DA1"/>
    <w:rsid w:val="003A2790"/>
    <w:rsid w:val="003B13E5"/>
    <w:rsid w:val="003D01A4"/>
    <w:rsid w:val="003D3E28"/>
    <w:rsid w:val="003F070E"/>
    <w:rsid w:val="00413AB6"/>
    <w:rsid w:val="00414D3E"/>
    <w:rsid w:val="00426962"/>
    <w:rsid w:val="00433A4F"/>
    <w:rsid w:val="00441737"/>
    <w:rsid w:val="004508E1"/>
    <w:rsid w:val="00453C49"/>
    <w:rsid w:val="004562E7"/>
    <w:rsid w:val="004A7B5F"/>
    <w:rsid w:val="004C00AE"/>
    <w:rsid w:val="004D1183"/>
    <w:rsid w:val="004D604F"/>
    <w:rsid w:val="004D6A01"/>
    <w:rsid w:val="004D7413"/>
    <w:rsid w:val="004E0B7F"/>
    <w:rsid w:val="00503D3E"/>
    <w:rsid w:val="0051665B"/>
    <w:rsid w:val="005224BA"/>
    <w:rsid w:val="005279BD"/>
    <w:rsid w:val="00557C22"/>
    <w:rsid w:val="0056341A"/>
    <w:rsid w:val="00563C8C"/>
    <w:rsid w:val="005B3071"/>
    <w:rsid w:val="005B422A"/>
    <w:rsid w:val="005B74F5"/>
    <w:rsid w:val="005C0908"/>
    <w:rsid w:val="005D5B31"/>
    <w:rsid w:val="005F118C"/>
    <w:rsid w:val="00601B9D"/>
    <w:rsid w:val="006101BF"/>
    <w:rsid w:val="006243F8"/>
    <w:rsid w:val="00651B06"/>
    <w:rsid w:val="00654F1C"/>
    <w:rsid w:val="006669EC"/>
    <w:rsid w:val="00696DC4"/>
    <w:rsid w:val="006B1D25"/>
    <w:rsid w:val="006B69A7"/>
    <w:rsid w:val="006C6964"/>
    <w:rsid w:val="006D584A"/>
    <w:rsid w:val="006D6E5B"/>
    <w:rsid w:val="006E74FB"/>
    <w:rsid w:val="006F0C50"/>
    <w:rsid w:val="00713587"/>
    <w:rsid w:val="00717EA1"/>
    <w:rsid w:val="00720F66"/>
    <w:rsid w:val="00725742"/>
    <w:rsid w:val="00746153"/>
    <w:rsid w:val="0075386C"/>
    <w:rsid w:val="007565BE"/>
    <w:rsid w:val="00760F4F"/>
    <w:rsid w:val="00765AF7"/>
    <w:rsid w:val="00767BB8"/>
    <w:rsid w:val="00773658"/>
    <w:rsid w:val="00777986"/>
    <w:rsid w:val="00777CAC"/>
    <w:rsid w:val="00792946"/>
    <w:rsid w:val="00793E45"/>
    <w:rsid w:val="00793EF8"/>
    <w:rsid w:val="007B6090"/>
    <w:rsid w:val="007C1A13"/>
    <w:rsid w:val="007C5768"/>
    <w:rsid w:val="007D1097"/>
    <w:rsid w:val="007D5DEA"/>
    <w:rsid w:val="007D62E3"/>
    <w:rsid w:val="007E23C9"/>
    <w:rsid w:val="007E5410"/>
    <w:rsid w:val="007F0808"/>
    <w:rsid w:val="007F44FF"/>
    <w:rsid w:val="007F4B43"/>
    <w:rsid w:val="008038FF"/>
    <w:rsid w:val="00805E18"/>
    <w:rsid w:val="008071D6"/>
    <w:rsid w:val="008102CA"/>
    <w:rsid w:val="008107C4"/>
    <w:rsid w:val="00827946"/>
    <w:rsid w:val="00834AB5"/>
    <w:rsid w:val="008424AB"/>
    <w:rsid w:val="0085137A"/>
    <w:rsid w:val="0085251D"/>
    <w:rsid w:val="00854D72"/>
    <w:rsid w:val="0086118F"/>
    <w:rsid w:val="00887DF4"/>
    <w:rsid w:val="008A72A5"/>
    <w:rsid w:val="008B24D3"/>
    <w:rsid w:val="008B7E73"/>
    <w:rsid w:val="008D5FC0"/>
    <w:rsid w:val="008E061D"/>
    <w:rsid w:val="008F7007"/>
    <w:rsid w:val="00904153"/>
    <w:rsid w:val="00911E7F"/>
    <w:rsid w:val="00917B96"/>
    <w:rsid w:val="00924F1E"/>
    <w:rsid w:val="00946B0E"/>
    <w:rsid w:val="009541A4"/>
    <w:rsid w:val="00961E1B"/>
    <w:rsid w:val="00963BD2"/>
    <w:rsid w:val="009676FA"/>
    <w:rsid w:val="00972CA8"/>
    <w:rsid w:val="00991566"/>
    <w:rsid w:val="009A03A0"/>
    <w:rsid w:val="009B1657"/>
    <w:rsid w:val="009B2798"/>
    <w:rsid w:val="009D24C4"/>
    <w:rsid w:val="009D6F78"/>
    <w:rsid w:val="009F0B20"/>
    <w:rsid w:val="009F30BF"/>
    <w:rsid w:val="009F727C"/>
    <w:rsid w:val="00A01214"/>
    <w:rsid w:val="00A125A4"/>
    <w:rsid w:val="00A25A74"/>
    <w:rsid w:val="00A36612"/>
    <w:rsid w:val="00A43893"/>
    <w:rsid w:val="00A43E20"/>
    <w:rsid w:val="00A54CD4"/>
    <w:rsid w:val="00A55CDD"/>
    <w:rsid w:val="00A654F0"/>
    <w:rsid w:val="00A87B15"/>
    <w:rsid w:val="00A93E82"/>
    <w:rsid w:val="00AB1DF7"/>
    <w:rsid w:val="00AB2117"/>
    <w:rsid w:val="00AD57B0"/>
    <w:rsid w:val="00AE0A3F"/>
    <w:rsid w:val="00AE777A"/>
    <w:rsid w:val="00AE7F09"/>
    <w:rsid w:val="00AF19FD"/>
    <w:rsid w:val="00B041A3"/>
    <w:rsid w:val="00B1289C"/>
    <w:rsid w:val="00B30D02"/>
    <w:rsid w:val="00B41966"/>
    <w:rsid w:val="00B42D96"/>
    <w:rsid w:val="00B55B76"/>
    <w:rsid w:val="00B6083F"/>
    <w:rsid w:val="00BB11E3"/>
    <w:rsid w:val="00BB2265"/>
    <w:rsid w:val="00BB36C5"/>
    <w:rsid w:val="00BB5D85"/>
    <w:rsid w:val="00BC39FD"/>
    <w:rsid w:val="00BC3E18"/>
    <w:rsid w:val="00BC65AF"/>
    <w:rsid w:val="00BD08D3"/>
    <w:rsid w:val="00BE1AEA"/>
    <w:rsid w:val="00BE2E9E"/>
    <w:rsid w:val="00BF39E3"/>
    <w:rsid w:val="00BF47A1"/>
    <w:rsid w:val="00BF57CB"/>
    <w:rsid w:val="00C064BB"/>
    <w:rsid w:val="00C114C0"/>
    <w:rsid w:val="00C156DF"/>
    <w:rsid w:val="00C27437"/>
    <w:rsid w:val="00C30111"/>
    <w:rsid w:val="00C303D9"/>
    <w:rsid w:val="00C3510E"/>
    <w:rsid w:val="00C36FFD"/>
    <w:rsid w:val="00C47367"/>
    <w:rsid w:val="00C5771F"/>
    <w:rsid w:val="00C635F1"/>
    <w:rsid w:val="00C64A96"/>
    <w:rsid w:val="00C753AB"/>
    <w:rsid w:val="00C81F81"/>
    <w:rsid w:val="00C93984"/>
    <w:rsid w:val="00CA6061"/>
    <w:rsid w:val="00CC28BA"/>
    <w:rsid w:val="00CC5D60"/>
    <w:rsid w:val="00CD4DC0"/>
    <w:rsid w:val="00CE04A0"/>
    <w:rsid w:val="00CF3EBE"/>
    <w:rsid w:val="00CF78FA"/>
    <w:rsid w:val="00D07E55"/>
    <w:rsid w:val="00D22980"/>
    <w:rsid w:val="00D247BE"/>
    <w:rsid w:val="00D27F71"/>
    <w:rsid w:val="00D30E35"/>
    <w:rsid w:val="00D47AF5"/>
    <w:rsid w:val="00D702F0"/>
    <w:rsid w:val="00D75453"/>
    <w:rsid w:val="00D9285C"/>
    <w:rsid w:val="00DA13D3"/>
    <w:rsid w:val="00DC3915"/>
    <w:rsid w:val="00DD3BF9"/>
    <w:rsid w:val="00DE205B"/>
    <w:rsid w:val="00DE5CB4"/>
    <w:rsid w:val="00DF1AEB"/>
    <w:rsid w:val="00E158ED"/>
    <w:rsid w:val="00E32EE9"/>
    <w:rsid w:val="00E33A71"/>
    <w:rsid w:val="00E4535F"/>
    <w:rsid w:val="00E53868"/>
    <w:rsid w:val="00E60888"/>
    <w:rsid w:val="00E831CF"/>
    <w:rsid w:val="00E91A27"/>
    <w:rsid w:val="00E97997"/>
    <w:rsid w:val="00EC4011"/>
    <w:rsid w:val="00EC65A9"/>
    <w:rsid w:val="00ED38BD"/>
    <w:rsid w:val="00F044A7"/>
    <w:rsid w:val="00F05701"/>
    <w:rsid w:val="00F17DBD"/>
    <w:rsid w:val="00F2522D"/>
    <w:rsid w:val="00F57A50"/>
    <w:rsid w:val="00F67130"/>
    <w:rsid w:val="00F71961"/>
    <w:rsid w:val="00F728AA"/>
    <w:rsid w:val="00F7748E"/>
    <w:rsid w:val="00F83B4D"/>
    <w:rsid w:val="00F83F13"/>
    <w:rsid w:val="00FB4B4D"/>
    <w:rsid w:val="00FC323A"/>
    <w:rsid w:val="00FE2394"/>
    <w:rsid w:val="00FF02B6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F6608-BA6A-4A5F-B0D4-FF91D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9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0C5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62DF8"/>
    <w:pPr>
      <w:suppressAutoHyphens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6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DF8"/>
    <w:rPr>
      <w:b/>
      <w:bCs/>
    </w:rPr>
  </w:style>
  <w:style w:type="character" w:customStyle="1" w:styleId="h11">
    <w:name w:val="h11"/>
    <w:basedOn w:val="Domylnaczcionkaakapitu"/>
    <w:rsid w:val="00746153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90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D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D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9"/>
  </w:style>
  <w:style w:type="paragraph" w:styleId="Stopka">
    <w:name w:val="footer"/>
    <w:basedOn w:val="Normalny"/>
    <w:link w:val="StopkaZnak"/>
    <w:uiPriority w:val="99"/>
    <w:unhideWhenUsed/>
    <w:rsid w:val="0018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olk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412F-37B7-435E-8761-43BDEA31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Klich</cp:lastModifiedBy>
  <cp:revision>151</cp:revision>
  <cp:lastPrinted>2018-12-03T12:35:00Z</cp:lastPrinted>
  <dcterms:created xsi:type="dcterms:W3CDTF">2013-12-11T08:26:00Z</dcterms:created>
  <dcterms:modified xsi:type="dcterms:W3CDTF">2019-01-02T07:25:00Z</dcterms:modified>
</cp:coreProperties>
</file>