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103CAE">
        <w:rPr>
          <w:rFonts w:cs="Tahoma"/>
        </w:rPr>
        <w:t>03</w:t>
      </w:r>
      <w:r w:rsidR="001614EA">
        <w:rPr>
          <w:rFonts w:cs="Tahoma"/>
        </w:rPr>
        <w:t>.04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103CAE">
        <w:rPr>
          <w:rFonts w:cs="Tahoma"/>
        </w:rPr>
        <w:t>6</w:t>
      </w:r>
      <w:r w:rsidR="00F62452">
        <w:rPr>
          <w:rFonts w:cs="Tahoma"/>
        </w:rPr>
        <w:t>/IP/2024</w:t>
      </w:r>
    </w:p>
    <w:p w:rsidR="00FA40C1" w:rsidRPr="00AB7B0C" w:rsidRDefault="00FA40C1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F60A46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967B1C" w:rsidRPr="00296F95" w:rsidRDefault="004F66FA" w:rsidP="007C693C">
            <w:pPr>
              <w:rPr>
                <w:rFonts w:cs="Tahoma"/>
                <w:b/>
              </w:rPr>
            </w:pPr>
            <w:r>
              <w:rPr>
                <w:rStyle w:val="Pogrubienie"/>
                <w:rFonts w:eastAsiaTheme="majorEastAsia"/>
              </w:rPr>
              <w:t xml:space="preserve">Podstawowe szkolenie </w:t>
            </w:r>
            <w:proofErr w:type="spellStart"/>
            <w:r>
              <w:rPr>
                <w:rStyle w:val="Pogrubienie"/>
                <w:rFonts w:eastAsiaTheme="majorEastAsia"/>
              </w:rPr>
              <w:t>podologiczne</w:t>
            </w:r>
            <w:proofErr w:type="spellEnd"/>
            <w:r>
              <w:rPr>
                <w:rStyle w:val="Pogrubienie"/>
                <w:rFonts w:eastAsiaTheme="majorEastAsia"/>
              </w:rPr>
              <w:t xml:space="preserve">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 xml:space="preserve">w </w:t>
            </w:r>
            <w:r>
              <w:rPr>
                <w:rFonts w:cs="Tahoma"/>
              </w:rPr>
              <w:t>ramach środków 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C9B" w:rsidRDefault="00D66E69" w:rsidP="00F60A46">
            <w:pPr>
              <w:pStyle w:val="Nagwek1"/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na </w:t>
            </w:r>
            <w:r w:rsidR="00131C9B">
              <w:t>przeprowa</w:t>
            </w:r>
            <w:r w:rsidR="004F66FA">
              <w:t>d</w:t>
            </w:r>
            <w:r w:rsidR="00131C9B">
              <w:t>z</w:t>
            </w:r>
            <w:r w:rsidR="004F66FA">
              <w:t xml:space="preserve">enie i </w:t>
            </w:r>
            <w:r w:rsidRPr="00C341D2">
              <w:t xml:space="preserve">zorganizowanie </w:t>
            </w:r>
            <w:r w:rsidR="004F66FA">
              <w:t>usługi szkoleniowej</w:t>
            </w:r>
            <w:r w:rsidRPr="00C341D2">
              <w:t>:</w:t>
            </w:r>
            <w:r w:rsidR="00131C9B">
              <w:rPr>
                <w:rStyle w:val="Pogrubienie"/>
                <w:rFonts w:eastAsiaTheme="majorEastAsia"/>
              </w:rPr>
              <w:t xml:space="preserve"> Podstawowe szkolenie </w:t>
            </w:r>
            <w:proofErr w:type="spellStart"/>
            <w:r w:rsidR="00131C9B">
              <w:rPr>
                <w:rStyle w:val="Pogrubienie"/>
                <w:rFonts w:eastAsiaTheme="majorEastAsia"/>
              </w:rPr>
              <w:t>podologiczne</w:t>
            </w:r>
            <w:proofErr w:type="spellEnd"/>
            <w:r w:rsidR="00131C9B">
              <w:rPr>
                <w:rStyle w:val="Pogrubienie"/>
                <w:rFonts w:eastAsiaTheme="majorEastAsia"/>
              </w:rPr>
              <w:t xml:space="preserve"> </w:t>
            </w:r>
            <w:r w:rsidR="00045956" w:rsidRPr="00CA0E7D">
              <w:rPr>
                <w:b/>
              </w:rPr>
              <w:t>dla 1 osoby</w:t>
            </w:r>
            <w:r w:rsidR="00F43004" w:rsidRPr="00C341D2">
              <w:t xml:space="preserve">, </w:t>
            </w:r>
            <w:r w:rsidR="00A22403" w:rsidRPr="00C341D2">
              <w:t xml:space="preserve">w </w:t>
            </w:r>
            <w:r w:rsidR="00131C9B">
              <w:t xml:space="preserve">ramach środków Funduszu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103CAE">
              <w:rPr>
                <w:b/>
              </w:rPr>
              <w:t>10</w:t>
            </w:r>
            <w:r w:rsidRPr="00797502">
              <w:rPr>
                <w:b/>
              </w:rPr>
              <w:t>.0</w:t>
            </w:r>
            <w:r w:rsidR="00E825D8">
              <w:rPr>
                <w:b/>
              </w:rPr>
              <w:t>4</w:t>
            </w:r>
            <w:r w:rsidR="00A70456">
              <w:rPr>
                <w:b/>
              </w:rPr>
              <w:t>.2024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</w:p>
          <w:p w:rsidR="00FA0143" w:rsidRDefault="00D66E69" w:rsidP="00F60A46">
            <w:pPr>
              <w:pStyle w:val="Nagwek1"/>
              <w:outlineLvl w:val="0"/>
            </w:pP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  <w:p w:rsidR="00FA40C1" w:rsidRPr="00FA40C1" w:rsidRDefault="00FA40C1" w:rsidP="00FA40C1"/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  <w:p w:rsidR="00FA40C1" w:rsidRPr="00D76593" w:rsidRDefault="00FA40C1" w:rsidP="00FA40C1">
            <w:pPr>
              <w:pStyle w:val="Akapitzlist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131C9B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131C9B">
              <w:rPr>
                <w:rStyle w:val="Pogrubienie"/>
                <w:rFonts w:eastAsiaTheme="majorEastAsia"/>
              </w:rPr>
              <w:t xml:space="preserve">Podstawowe szkolenie </w:t>
            </w:r>
            <w:proofErr w:type="spellStart"/>
            <w:r w:rsidR="00131C9B">
              <w:rPr>
                <w:rStyle w:val="Pogrubienie"/>
                <w:rFonts w:eastAsiaTheme="majorEastAsia"/>
              </w:rPr>
              <w:t>podologiczne</w:t>
            </w:r>
            <w:proofErr w:type="spellEnd"/>
            <w:r w:rsidR="00131C9B">
              <w:rPr>
                <w:rStyle w:val="Pogrubienie"/>
                <w:rFonts w:eastAsiaTheme="majorEastAsia"/>
              </w:rPr>
              <w:t xml:space="preserve"> </w:t>
            </w:r>
            <w:r w:rsidR="00E825D8" w:rsidRPr="00CA0E7D">
              <w:rPr>
                <w:rFonts w:cs="Tahoma"/>
                <w:b/>
              </w:rPr>
              <w:t>d</w:t>
            </w:r>
            <w:r w:rsidR="007C2DDC" w:rsidRPr="00CA0E7D">
              <w:rPr>
                <w:rFonts w:cs="Tahoma"/>
                <w:b/>
              </w:rPr>
              <w:t>la 1 oso</w:t>
            </w:r>
            <w:r w:rsidR="00EE3AC8" w:rsidRPr="00CA0E7D">
              <w:rPr>
                <w:rFonts w:cs="Tahoma"/>
                <w:b/>
              </w:rPr>
              <w:t>b</w:t>
            </w:r>
            <w:r w:rsidR="007C2DDC" w:rsidRPr="00CA0E7D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131C9B">
              <w:t>ramach środków Funduszu Pracy.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131C9B">
              <w:rPr>
                <w:rFonts w:cs="Tahoma"/>
              </w:rPr>
              <w:t>a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 xml:space="preserve">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lastRenderedPageBreak/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F900A2" w:rsidRPr="005C1CCC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  <w:szCs w:val="22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="005C1CCC">
              <w:rPr>
                <w:rFonts w:cs="Tahoma"/>
              </w:rPr>
              <w:t xml:space="preserve"> </w:t>
            </w:r>
            <w:r w:rsidR="005C1CCC" w:rsidRPr="005C1CCC">
              <w:rPr>
                <w:rFonts w:cs="Tahoma"/>
                <w:szCs w:val="22"/>
              </w:rPr>
              <w:t xml:space="preserve">do samodzielnego wykonania zabiegu </w:t>
            </w:r>
            <w:proofErr w:type="spellStart"/>
            <w:r w:rsidR="005C1CCC" w:rsidRPr="005C1CCC">
              <w:rPr>
                <w:rFonts w:cs="Tahoma"/>
                <w:szCs w:val="22"/>
              </w:rPr>
              <w:t>podologicznego</w:t>
            </w:r>
            <w:proofErr w:type="spellEnd"/>
            <w:r w:rsidR="005C1CCC" w:rsidRPr="005C1CCC">
              <w:rPr>
                <w:rFonts w:cs="Tahoma"/>
                <w:szCs w:val="22"/>
              </w:rPr>
              <w:t xml:space="preserve"> z zastosowaniem odpowiednich narzędzi oraz urządzeń</w:t>
            </w:r>
            <w:r w:rsidR="001A38EF">
              <w:rPr>
                <w:rFonts w:cs="Tahoma"/>
                <w:szCs w:val="22"/>
              </w:rPr>
              <w:t xml:space="preserve">, w tym frezarki </w:t>
            </w:r>
            <w:proofErr w:type="spellStart"/>
            <w:r w:rsidR="001A38EF">
              <w:rPr>
                <w:rFonts w:cs="Tahoma"/>
                <w:szCs w:val="22"/>
              </w:rPr>
              <w:t>podologicznej</w:t>
            </w:r>
            <w:proofErr w:type="spellEnd"/>
            <w:r w:rsidR="001A38EF">
              <w:rPr>
                <w:rFonts w:cs="Tahoma"/>
                <w:szCs w:val="22"/>
              </w:rPr>
              <w:t xml:space="preserve">, dłuta </w:t>
            </w:r>
            <w:proofErr w:type="spellStart"/>
            <w:r w:rsidR="001A38EF">
              <w:rPr>
                <w:rFonts w:cs="Tahoma"/>
                <w:szCs w:val="22"/>
              </w:rPr>
              <w:t>podologicznego</w:t>
            </w:r>
            <w:proofErr w:type="spellEnd"/>
            <w:r w:rsidR="001A38EF">
              <w:rPr>
                <w:rFonts w:cs="Tahoma"/>
                <w:szCs w:val="22"/>
              </w:rPr>
              <w:t xml:space="preserve">, skalpela a także rozpoznawania chorób paznokci. </w:t>
            </w:r>
            <w:r w:rsidR="005C1CCC" w:rsidRPr="005C1CCC">
              <w:rPr>
                <w:rFonts w:cs="Tahoma"/>
                <w:szCs w:val="22"/>
              </w:rPr>
              <w:t xml:space="preserve"> </w:t>
            </w:r>
          </w:p>
          <w:p w:rsidR="00131C9B" w:rsidRDefault="005E777B" w:rsidP="00CB7BA2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Program szkolenia ma składać się z części teoretycznej oraz praktycznej i winien </w:t>
            </w:r>
            <w:proofErr w:type="gramStart"/>
            <w:r w:rsidR="00131C9B">
              <w:rPr>
                <w:rFonts w:cs="Tahoma"/>
              </w:rPr>
              <w:t>zawierać co</w:t>
            </w:r>
            <w:proofErr w:type="gramEnd"/>
            <w:r w:rsidR="00131C9B">
              <w:rPr>
                <w:rFonts w:cs="Tahoma"/>
              </w:rPr>
              <w:t xml:space="preserve"> najmniej </w:t>
            </w:r>
            <w:r>
              <w:rPr>
                <w:rFonts w:cs="Tahoma"/>
              </w:rPr>
              <w:t xml:space="preserve">70 godzin edukacyjnych z następującymi </w:t>
            </w:r>
            <w:r w:rsidR="00047A51">
              <w:rPr>
                <w:rFonts w:cs="Tahoma"/>
              </w:rPr>
              <w:t>z</w:t>
            </w:r>
            <w:r w:rsidR="00131C9B">
              <w:rPr>
                <w:rFonts w:cs="Tahoma"/>
              </w:rPr>
              <w:t>agadnienia</w:t>
            </w:r>
            <w:r>
              <w:rPr>
                <w:rFonts w:cs="Tahoma"/>
              </w:rPr>
              <w:t>mi</w:t>
            </w:r>
            <w:r w:rsidR="00131C9B">
              <w:rPr>
                <w:rFonts w:cs="Tahoma"/>
              </w:rPr>
              <w:t>:</w:t>
            </w:r>
          </w:p>
          <w:p w:rsidR="00776016" w:rsidRDefault="00776016" w:rsidP="00776016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8.1. Regulacje prawne, BHP i zasady sanitarne,</w:t>
            </w:r>
          </w:p>
          <w:p w:rsidR="00776016" w:rsidRDefault="00776016" w:rsidP="00776016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8.2. Wyposażenie gabinetu </w:t>
            </w:r>
            <w:proofErr w:type="spellStart"/>
            <w:r>
              <w:rPr>
                <w:rFonts w:cs="Tahoma"/>
              </w:rPr>
              <w:t>podologicznego</w:t>
            </w:r>
            <w:proofErr w:type="spellEnd"/>
            <w:r>
              <w:rPr>
                <w:rFonts w:cs="Tahoma"/>
              </w:rPr>
              <w:t>, sterylizacja i dezynfekcja w gabinecie,</w:t>
            </w:r>
            <w:r w:rsidR="005E777B">
              <w:rPr>
                <w:rFonts w:cs="Tahoma"/>
              </w:rPr>
              <w:t xml:space="preserve"> przygotowanie stanowiska pracy, </w:t>
            </w:r>
          </w:p>
          <w:p w:rsidR="005E777B" w:rsidRDefault="00776016" w:rsidP="00776016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8.3. </w:t>
            </w:r>
            <w:r w:rsidR="005E777B">
              <w:rPr>
                <w:rFonts w:cs="Tahoma"/>
              </w:rPr>
              <w:t>Anatomia i choroby paznokci, objawy chorobowe w obrębie paznokci, rodzaje infekcji grzybiczych i bakteryjnych,</w:t>
            </w:r>
          </w:p>
          <w:p w:rsidR="005E777B" w:rsidRDefault="00047A51" w:rsidP="00776016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8.4</w:t>
            </w:r>
            <w:r w:rsidR="005E777B">
              <w:rPr>
                <w:rFonts w:cs="Tahoma"/>
              </w:rPr>
              <w:t>. Brodawki wirusowe, modzele, odciski, rozpadliny piętowe,</w:t>
            </w:r>
          </w:p>
          <w:p w:rsidR="005E777B" w:rsidRDefault="00047A51" w:rsidP="00776016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8.5.</w:t>
            </w:r>
            <w:r w:rsidR="005E777B">
              <w:rPr>
                <w:rFonts w:cs="Tahoma"/>
              </w:rPr>
              <w:t xml:space="preserve"> Metody pobierania materiału do badań bakteriologicznych i mikologicznych</w:t>
            </w:r>
            <w:r>
              <w:rPr>
                <w:rFonts w:cs="Tahoma"/>
              </w:rPr>
              <w:t>,</w:t>
            </w:r>
          </w:p>
          <w:p w:rsidR="005E777B" w:rsidRDefault="00047A51" w:rsidP="00776016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8.6</w:t>
            </w:r>
            <w:r w:rsidR="005E777B">
              <w:rPr>
                <w:rFonts w:cs="Tahoma"/>
              </w:rPr>
              <w:t xml:space="preserve">. Postępowanie z paznokciami zmienionymi chorobowo i paznokciami pourazowymi, </w:t>
            </w:r>
          </w:p>
          <w:p w:rsidR="005E777B" w:rsidRDefault="00047A51" w:rsidP="00776016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8.7. </w:t>
            </w:r>
            <w:proofErr w:type="spellStart"/>
            <w:r>
              <w:rPr>
                <w:rFonts w:cs="Tahoma"/>
              </w:rPr>
              <w:t>T</w:t>
            </w:r>
            <w:r w:rsidR="005E777B">
              <w:rPr>
                <w:rFonts w:cs="Tahoma"/>
              </w:rPr>
              <w:t>aping</w:t>
            </w:r>
            <w:proofErr w:type="spellEnd"/>
            <w:r w:rsidR="005E777B">
              <w:rPr>
                <w:rFonts w:cs="Tahoma"/>
              </w:rPr>
              <w:t xml:space="preserve"> </w:t>
            </w:r>
            <w:proofErr w:type="spellStart"/>
            <w:r w:rsidR="005E777B">
              <w:rPr>
                <w:rFonts w:cs="Tahoma"/>
              </w:rPr>
              <w:t>podologiczny</w:t>
            </w:r>
            <w:proofErr w:type="spellEnd"/>
            <w:r>
              <w:rPr>
                <w:rFonts w:cs="Tahoma"/>
              </w:rPr>
              <w:t>,</w:t>
            </w:r>
          </w:p>
          <w:p w:rsidR="00047A51" w:rsidRDefault="00047A51" w:rsidP="00776016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8.8. Praca frezerką </w:t>
            </w:r>
            <w:proofErr w:type="spellStart"/>
            <w:r>
              <w:rPr>
                <w:rFonts w:cs="Tahoma"/>
              </w:rPr>
              <w:t>podologiczną</w:t>
            </w:r>
            <w:proofErr w:type="spellEnd"/>
            <w:r>
              <w:rPr>
                <w:rFonts w:cs="Tahoma"/>
              </w:rPr>
              <w:t>,</w:t>
            </w:r>
          </w:p>
          <w:p w:rsidR="00131C9B" w:rsidRDefault="00047A51" w:rsidP="00131C9B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8.9. Pr</w:t>
            </w:r>
            <w:r w:rsidR="00CF6FC2">
              <w:rPr>
                <w:rFonts w:cs="Tahoma"/>
              </w:rPr>
              <w:t>ocedury przeprowadzenia zabiegu.</w:t>
            </w:r>
          </w:p>
          <w:p w:rsidR="00A13698" w:rsidRPr="00A13698" w:rsidRDefault="00A13698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lastRenderedPageBreak/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71413A" w:rsidRPr="00AB7B0C">
              <w:rPr>
                <w:rFonts w:cs="Tahoma"/>
                <w:color w:val="000000"/>
              </w:rPr>
              <w:t>:</w:t>
            </w:r>
            <w:r w:rsidR="00131C9B">
              <w:rPr>
                <w:rStyle w:val="Pogrubienie"/>
                <w:rFonts w:eastAsiaTheme="majorEastAsia"/>
              </w:rPr>
              <w:t xml:space="preserve"> Podstawowe szkolenie </w:t>
            </w:r>
            <w:proofErr w:type="spellStart"/>
            <w:r w:rsidR="00131C9B">
              <w:rPr>
                <w:rStyle w:val="Pogrubienie"/>
                <w:rFonts w:eastAsiaTheme="majorEastAsia"/>
              </w:rPr>
              <w:t>podologiczne</w:t>
            </w:r>
            <w:proofErr w:type="spellEnd"/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A60814">
              <w:rPr>
                <w:rFonts w:cs="Tahoma"/>
                <w:b/>
              </w:rPr>
              <w:t>1.07.</w:t>
            </w:r>
            <w:r w:rsidRPr="00AB7B0C">
              <w:rPr>
                <w:rFonts w:cs="Tahoma"/>
                <w:b/>
              </w:rPr>
              <w:t>202</w:t>
            </w:r>
            <w:r w:rsidR="00A5629D">
              <w:rPr>
                <w:rFonts w:cs="Tahoma"/>
                <w:b/>
              </w:rPr>
              <w:t>4</w:t>
            </w:r>
            <w:r w:rsidR="00DC32B3" w:rsidRPr="00AB7B0C">
              <w:rPr>
                <w:rFonts w:cs="Tahoma"/>
                <w:b/>
              </w:rPr>
              <w:t xml:space="preserve"> </w:t>
            </w:r>
            <w:proofErr w:type="gramStart"/>
            <w:r w:rsidRPr="00AB7B0C">
              <w:rPr>
                <w:rFonts w:cs="Tahoma"/>
                <w:b/>
              </w:rPr>
              <w:t>r</w:t>
            </w:r>
            <w:proofErr w:type="gramEnd"/>
            <w:r w:rsidRPr="00AB7B0C">
              <w:rPr>
                <w:rFonts w:cs="Tahoma"/>
                <w:b/>
              </w:rPr>
              <w:t xml:space="preserve">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 xml:space="preserve">małopolskiego lub województwa śląskiego. </w:t>
            </w:r>
          </w:p>
          <w:p w:rsidR="00FA40C1" w:rsidRPr="00AB7B0C" w:rsidRDefault="00FA40C1" w:rsidP="00F92DD5">
            <w:pPr>
              <w:pStyle w:val="Akapitzlist"/>
              <w:rPr>
                <w:rFonts w:cs="Tahoma"/>
              </w:rPr>
            </w:pPr>
            <w:bookmarkStart w:id="0" w:name="_GoBack"/>
            <w:bookmarkEnd w:id="0"/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A00260">
              <w:rPr>
                <w:rFonts w:cs="Tahoma"/>
                <w:b/>
                <w:bCs/>
                <w:color w:val="000000"/>
              </w:rPr>
              <w:t>10</w:t>
            </w:r>
            <w:r w:rsidR="00E825D8">
              <w:rPr>
                <w:rFonts w:cs="Tahoma"/>
                <w:b/>
                <w:bCs/>
                <w:color w:val="000000"/>
              </w:rPr>
              <w:t>.04</w:t>
            </w:r>
            <w:r w:rsidR="00A00260">
              <w:rPr>
                <w:rFonts w:cs="Tahoma"/>
                <w:b/>
                <w:bCs/>
                <w:color w:val="000000"/>
              </w:rPr>
              <w:t xml:space="preserve">.2024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A5629D">
              <w:rPr>
                <w:rStyle w:val="Pogrubienie"/>
                <w:rFonts w:eastAsiaTheme="majorEastAsia"/>
              </w:rPr>
              <w:t xml:space="preserve"> </w:t>
            </w:r>
            <w:r w:rsidR="00473595">
              <w:rPr>
                <w:rStyle w:val="Pogrubienie"/>
                <w:rFonts w:eastAsiaTheme="majorEastAsia"/>
              </w:rPr>
              <w:t xml:space="preserve">Podstawowe szkolenie </w:t>
            </w:r>
            <w:proofErr w:type="spellStart"/>
            <w:r w:rsidR="00473595">
              <w:rPr>
                <w:rStyle w:val="Pogrubienie"/>
                <w:rFonts w:eastAsiaTheme="majorEastAsia"/>
              </w:rPr>
              <w:t>podologiczne</w:t>
            </w:r>
            <w:proofErr w:type="spellEnd"/>
            <w:r w:rsidR="00A00260">
              <w:rPr>
                <w:rStyle w:val="Pogrubienie"/>
                <w:rFonts w:eastAsiaTheme="majorEastAsia"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292DDD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292DDD">
              <w:rPr>
                <w:rFonts w:cs="Tahoma"/>
                <w:b/>
                <w:color w:val="000000"/>
              </w:rPr>
              <w:t>ania umowy z załącznikami do umowy</w:t>
            </w:r>
            <w:r w:rsidRPr="00292DDD">
              <w:rPr>
                <w:rFonts w:cs="Tahoma"/>
                <w:b/>
                <w:color w:val="000000"/>
              </w:rPr>
              <w:t>.</w:t>
            </w:r>
            <w:r w:rsidRPr="00AB7B0C">
              <w:rPr>
                <w:rFonts w:cs="Tahoma"/>
                <w:color w:val="000000"/>
              </w:rPr>
              <w:t xml:space="preserve">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292DDD">
              <w:rPr>
                <w:rFonts w:cs="Tahoma"/>
                <w:bCs/>
                <w:iCs/>
              </w:rPr>
              <w:t xml:space="preserve">(załącznik </w:t>
            </w:r>
            <w:r w:rsidRPr="00AB7B0C">
              <w:rPr>
                <w:rFonts w:cs="Tahoma"/>
                <w:bCs/>
                <w:iCs/>
              </w:rPr>
              <w:t>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AB7B0C">
              <w:rPr>
                <w:rFonts w:cs="Tahoma"/>
                <w:bCs/>
                <w:iCs/>
              </w:rPr>
              <w:t>powiadomiona</w:t>
            </w:r>
            <w:proofErr w:type="gramEnd"/>
            <w:r w:rsidRPr="00AB7B0C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lastRenderedPageBreak/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FB6AC4" w:rsidRPr="00AB7B0C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:rsidRPr="00AB7B0C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A60814" w:rsidRDefault="00A60814" w:rsidP="00A60814">
      <w:pPr>
        <w:spacing w:after="0"/>
        <w:rPr>
          <w:rFonts w:cs="Tahoma"/>
        </w:rPr>
      </w:pPr>
    </w:p>
    <w:p w:rsidR="00B035BC" w:rsidRDefault="00B035BC" w:rsidP="00B035BC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B035BC" w:rsidRDefault="00B035BC" w:rsidP="00B035BC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B035BC" w:rsidRDefault="00B035BC" w:rsidP="00B035BC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A60814" w:rsidRPr="00AB7B0C" w:rsidRDefault="00A60814" w:rsidP="00296F95">
      <w:pPr>
        <w:rPr>
          <w:rFonts w:cs="Tahoma"/>
        </w:rPr>
      </w:pPr>
    </w:p>
    <w:sectPr w:rsidR="00A60814" w:rsidRPr="00AB7B0C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1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2"/>
  </w:num>
  <w:num w:numId="5">
    <w:abstractNumId w:val="3"/>
  </w:num>
  <w:num w:numId="6">
    <w:abstractNumId w:val="4"/>
  </w:num>
  <w:num w:numId="7">
    <w:abstractNumId w:val="39"/>
  </w:num>
  <w:num w:numId="8">
    <w:abstractNumId w:val="14"/>
  </w:num>
  <w:num w:numId="9">
    <w:abstractNumId w:val="37"/>
  </w:num>
  <w:num w:numId="10">
    <w:abstractNumId w:val="18"/>
  </w:num>
  <w:num w:numId="11">
    <w:abstractNumId w:val="25"/>
  </w:num>
  <w:num w:numId="12">
    <w:abstractNumId w:val="1"/>
  </w:num>
  <w:num w:numId="13">
    <w:abstractNumId w:val="27"/>
  </w:num>
  <w:num w:numId="14">
    <w:abstractNumId w:val="7"/>
  </w:num>
  <w:num w:numId="15">
    <w:abstractNumId w:val="33"/>
  </w:num>
  <w:num w:numId="16">
    <w:abstractNumId w:val="35"/>
  </w:num>
  <w:num w:numId="17">
    <w:abstractNumId w:val="19"/>
  </w:num>
  <w:num w:numId="18">
    <w:abstractNumId w:val="17"/>
  </w:num>
  <w:num w:numId="19">
    <w:abstractNumId w:val="22"/>
  </w:num>
  <w:num w:numId="20">
    <w:abstractNumId w:val="8"/>
  </w:num>
  <w:num w:numId="21">
    <w:abstractNumId w:val="2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0"/>
  </w:num>
  <w:num w:numId="25">
    <w:abstractNumId w:val="36"/>
  </w:num>
  <w:num w:numId="26">
    <w:abstractNumId w:val="9"/>
  </w:num>
  <w:num w:numId="27">
    <w:abstractNumId w:val="24"/>
  </w:num>
  <w:num w:numId="28">
    <w:abstractNumId w:val="0"/>
  </w:num>
  <w:num w:numId="29">
    <w:abstractNumId w:val="23"/>
  </w:num>
  <w:num w:numId="30">
    <w:abstractNumId w:val="11"/>
  </w:num>
  <w:num w:numId="31">
    <w:abstractNumId w:val="21"/>
  </w:num>
  <w:num w:numId="32">
    <w:abstractNumId w:val="28"/>
  </w:num>
  <w:num w:numId="33">
    <w:abstractNumId w:val="38"/>
  </w:num>
  <w:num w:numId="34">
    <w:abstractNumId w:val="29"/>
  </w:num>
  <w:num w:numId="35">
    <w:abstractNumId w:val="6"/>
  </w:num>
  <w:num w:numId="36">
    <w:abstractNumId w:val="10"/>
  </w:num>
  <w:num w:numId="37">
    <w:abstractNumId w:val="40"/>
  </w:num>
  <w:num w:numId="38">
    <w:abstractNumId w:val="32"/>
  </w:num>
  <w:num w:numId="39">
    <w:abstractNumId w:val="20"/>
  </w:num>
  <w:num w:numId="40">
    <w:abstractNumId w:val="34"/>
  </w:num>
  <w:num w:numId="41">
    <w:abstractNumId w:val="1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47A51"/>
    <w:rsid w:val="000707F0"/>
    <w:rsid w:val="0007638A"/>
    <w:rsid w:val="00084BF3"/>
    <w:rsid w:val="000A0A45"/>
    <w:rsid w:val="000C729F"/>
    <w:rsid w:val="000E2B28"/>
    <w:rsid w:val="000F28B7"/>
    <w:rsid w:val="00103CAE"/>
    <w:rsid w:val="001073B8"/>
    <w:rsid w:val="001166DC"/>
    <w:rsid w:val="0012573E"/>
    <w:rsid w:val="00131C9B"/>
    <w:rsid w:val="0015518A"/>
    <w:rsid w:val="00156C4D"/>
    <w:rsid w:val="001614EA"/>
    <w:rsid w:val="00161637"/>
    <w:rsid w:val="00173C19"/>
    <w:rsid w:val="001A2D28"/>
    <w:rsid w:val="001A38EF"/>
    <w:rsid w:val="001A6CEB"/>
    <w:rsid w:val="001E0E62"/>
    <w:rsid w:val="001E483F"/>
    <w:rsid w:val="00204856"/>
    <w:rsid w:val="00212EE0"/>
    <w:rsid w:val="00222BCF"/>
    <w:rsid w:val="0023722D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6F95"/>
    <w:rsid w:val="002B2DA0"/>
    <w:rsid w:val="002E1D36"/>
    <w:rsid w:val="002E5360"/>
    <w:rsid w:val="002F789D"/>
    <w:rsid w:val="0031753F"/>
    <w:rsid w:val="00341E73"/>
    <w:rsid w:val="00361BFC"/>
    <w:rsid w:val="00361C28"/>
    <w:rsid w:val="00363AE5"/>
    <w:rsid w:val="00385D46"/>
    <w:rsid w:val="003C1865"/>
    <w:rsid w:val="003E7D75"/>
    <w:rsid w:val="003F4127"/>
    <w:rsid w:val="0041366D"/>
    <w:rsid w:val="00435C96"/>
    <w:rsid w:val="00436E08"/>
    <w:rsid w:val="00440E2C"/>
    <w:rsid w:val="00441583"/>
    <w:rsid w:val="00456308"/>
    <w:rsid w:val="004712A1"/>
    <w:rsid w:val="00471F7B"/>
    <w:rsid w:val="00473595"/>
    <w:rsid w:val="00483127"/>
    <w:rsid w:val="00484A06"/>
    <w:rsid w:val="00496FA7"/>
    <w:rsid w:val="004A27C2"/>
    <w:rsid w:val="004A7D1E"/>
    <w:rsid w:val="004B1C62"/>
    <w:rsid w:val="004C2595"/>
    <w:rsid w:val="004F30C6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C064D"/>
    <w:rsid w:val="005C1CCC"/>
    <w:rsid w:val="005E777B"/>
    <w:rsid w:val="00614D80"/>
    <w:rsid w:val="00652F3F"/>
    <w:rsid w:val="00654DCB"/>
    <w:rsid w:val="00677482"/>
    <w:rsid w:val="00677821"/>
    <w:rsid w:val="006A1FB7"/>
    <w:rsid w:val="006A7CE1"/>
    <w:rsid w:val="006B5246"/>
    <w:rsid w:val="006B616D"/>
    <w:rsid w:val="006C2A1B"/>
    <w:rsid w:val="006C352F"/>
    <w:rsid w:val="006C655A"/>
    <w:rsid w:val="006D7C2B"/>
    <w:rsid w:val="006E5C71"/>
    <w:rsid w:val="006E642F"/>
    <w:rsid w:val="006F1BE8"/>
    <w:rsid w:val="0071413A"/>
    <w:rsid w:val="00724537"/>
    <w:rsid w:val="00725367"/>
    <w:rsid w:val="007459EC"/>
    <w:rsid w:val="00752868"/>
    <w:rsid w:val="00772612"/>
    <w:rsid w:val="00776016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A0131"/>
    <w:rsid w:val="009D3D2F"/>
    <w:rsid w:val="009F50CF"/>
    <w:rsid w:val="00A00260"/>
    <w:rsid w:val="00A13501"/>
    <w:rsid w:val="00A13698"/>
    <w:rsid w:val="00A15D2B"/>
    <w:rsid w:val="00A22403"/>
    <w:rsid w:val="00A25269"/>
    <w:rsid w:val="00A3207C"/>
    <w:rsid w:val="00A45AC9"/>
    <w:rsid w:val="00A53FC8"/>
    <w:rsid w:val="00A5629D"/>
    <w:rsid w:val="00A60814"/>
    <w:rsid w:val="00A667DB"/>
    <w:rsid w:val="00A70456"/>
    <w:rsid w:val="00A76A50"/>
    <w:rsid w:val="00A87B6B"/>
    <w:rsid w:val="00AA01BF"/>
    <w:rsid w:val="00AA2DDD"/>
    <w:rsid w:val="00AB7B0C"/>
    <w:rsid w:val="00AC278F"/>
    <w:rsid w:val="00AD14F8"/>
    <w:rsid w:val="00AF1896"/>
    <w:rsid w:val="00B035BC"/>
    <w:rsid w:val="00B075A5"/>
    <w:rsid w:val="00B137C0"/>
    <w:rsid w:val="00B309CA"/>
    <w:rsid w:val="00B34454"/>
    <w:rsid w:val="00B37757"/>
    <w:rsid w:val="00B4074B"/>
    <w:rsid w:val="00B72AE3"/>
    <w:rsid w:val="00B8646E"/>
    <w:rsid w:val="00BE4802"/>
    <w:rsid w:val="00BF6781"/>
    <w:rsid w:val="00C33A44"/>
    <w:rsid w:val="00C341D2"/>
    <w:rsid w:val="00C34BF0"/>
    <w:rsid w:val="00C36590"/>
    <w:rsid w:val="00C51714"/>
    <w:rsid w:val="00C72465"/>
    <w:rsid w:val="00CA0E7D"/>
    <w:rsid w:val="00CB0E5A"/>
    <w:rsid w:val="00CC6768"/>
    <w:rsid w:val="00CD3435"/>
    <w:rsid w:val="00CE1C8E"/>
    <w:rsid w:val="00CF1687"/>
    <w:rsid w:val="00CF6FC2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B6417"/>
    <w:rsid w:val="00DC32B3"/>
    <w:rsid w:val="00DD7F30"/>
    <w:rsid w:val="00DF217E"/>
    <w:rsid w:val="00DF313D"/>
    <w:rsid w:val="00E000AD"/>
    <w:rsid w:val="00E064EF"/>
    <w:rsid w:val="00E51176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25369"/>
    <w:rsid w:val="00F43004"/>
    <w:rsid w:val="00F54BF9"/>
    <w:rsid w:val="00F56E51"/>
    <w:rsid w:val="00F60A46"/>
    <w:rsid w:val="00F62452"/>
    <w:rsid w:val="00F900A2"/>
    <w:rsid w:val="00F92DD5"/>
    <w:rsid w:val="00FA0143"/>
    <w:rsid w:val="00FA40C1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45CA-E12A-4775-8CC2-C8302F7D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1556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27</cp:revision>
  <cp:lastPrinted>2024-04-03T07:39:00Z</cp:lastPrinted>
  <dcterms:created xsi:type="dcterms:W3CDTF">2024-03-25T11:23:00Z</dcterms:created>
  <dcterms:modified xsi:type="dcterms:W3CDTF">2024-04-03T07:39:00Z</dcterms:modified>
</cp:coreProperties>
</file>