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  <w:bookmarkStart w:id="0" w:name="_GoBack"/>
      <w:bookmarkEnd w:id="0"/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8" w:rsidRPr="00AB7B0C" w:rsidRDefault="00CC6768" w:rsidP="00296F95">
      <w:pPr>
        <w:spacing w:after="0" w:line="240" w:lineRule="auto"/>
        <w:ind w:right="-108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354532">
        <w:rPr>
          <w:rFonts w:cs="Tahoma"/>
        </w:rPr>
        <w:t>20</w:t>
      </w:r>
      <w:r w:rsidR="005954DE">
        <w:rPr>
          <w:rFonts w:cs="Tahoma"/>
        </w:rPr>
        <w:t>.05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5954DE">
        <w:rPr>
          <w:rFonts w:cs="Tahoma"/>
        </w:rPr>
        <w:t>9</w:t>
      </w:r>
      <w:r w:rsidR="00F62452">
        <w:rPr>
          <w:rFonts w:cs="Tahoma"/>
        </w:rPr>
        <w:t>/IP/2024</w:t>
      </w: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D830BD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5954DE" w:rsidP="007C693C">
            <w:pPr>
              <w:rPr>
                <w:rFonts w:cs="Tahoma"/>
                <w:b/>
              </w:rPr>
            </w:pPr>
            <w:r w:rsidRPr="00296F95">
              <w:rPr>
                <w:rFonts w:cs="Tahoma"/>
                <w:b/>
              </w:rPr>
              <w:t xml:space="preserve">Operator wózków jezdniowych podnośnikowych z mechanicznym napędem podnoszenia </w:t>
            </w:r>
            <w:r w:rsidRPr="00296F95">
              <w:rPr>
                <w:rFonts w:cs="Tahoma"/>
                <w:b/>
              </w:rPr>
              <w:br/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wraz z ładunkiem </w:t>
            </w:r>
            <w:r w:rsidR="00CF7209">
              <w:rPr>
                <w:b/>
              </w:rPr>
              <w:t xml:space="preserve">oraz z egzaminem UDT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>w projekcie niekonkurencyjnym pod nazwą „Czas na aktywizację (</w:t>
            </w:r>
            <w:r w:rsidR="00F62452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I</w:t>
            </w:r>
            <w:proofErr w:type="gramStart"/>
            <w:r w:rsidR="00296F95" w:rsidRPr="00AB7B0C">
              <w:rPr>
                <w:rFonts w:cs="Tahoma"/>
              </w:rPr>
              <w:t>)”, realizowanego</w:t>
            </w:r>
            <w:proofErr w:type="gramEnd"/>
            <w:r w:rsidR="00296F95"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296F95">
              <w:rPr>
                <w:rFonts w:cs="Tahoma"/>
              </w:rPr>
              <w:t>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143" w:rsidRPr="00677821" w:rsidRDefault="00D66E69" w:rsidP="005954DE">
            <w:pPr>
              <w:pStyle w:val="Nagwek1"/>
              <w:outlineLvl w:val="0"/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7C693C">
              <w:rPr>
                <w:rStyle w:val="Pogrubienie"/>
                <w:rFonts w:eastAsiaTheme="majorEastAsia"/>
              </w:rPr>
              <w:t xml:space="preserve"> </w:t>
            </w:r>
            <w:r w:rsidR="005954DE" w:rsidRPr="00296F95">
              <w:rPr>
                <w:b/>
              </w:rPr>
              <w:t>Operator wózków jezdniowych podnośnikowych z me</w:t>
            </w:r>
            <w:r w:rsidR="005954DE">
              <w:rPr>
                <w:b/>
              </w:rPr>
              <w:t xml:space="preserve">chanicznym napędem podnoszenia </w:t>
            </w:r>
            <w:r w:rsidR="005954DE" w:rsidRPr="00296F95">
              <w:rPr>
                <w:b/>
              </w:rPr>
              <w:t xml:space="preserve">z wysięgnikiem oraz wózków </w:t>
            </w:r>
            <w:r w:rsidR="005954DE">
              <w:rPr>
                <w:b/>
              </w:rPr>
              <w:t xml:space="preserve">jezdniowych podnośnikowych </w:t>
            </w:r>
            <w:r w:rsidR="005954DE" w:rsidRPr="00296F95">
              <w:rPr>
                <w:b/>
              </w:rPr>
              <w:t xml:space="preserve">z mechanicznym napędem podnoszenia </w:t>
            </w:r>
            <w:r w:rsidR="005954DE">
              <w:rPr>
                <w:b/>
              </w:rPr>
              <w:t xml:space="preserve">z osobą obsługującą podnoszoną </w:t>
            </w:r>
            <w:r w:rsidR="005954DE" w:rsidRPr="00296F95">
              <w:rPr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5954DE" w:rsidRPr="00296F95">
              <w:rPr>
                <w:b/>
              </w:rPr>
              <w:t xml:space="preserve">dla </w:t>
            </w:r>
            <w:r w:rsidR="00045956" w:rsidRPr="005954DE">
              <w:rPr>
                <w:b/>
              </w:rPr>
              <w:t>1 osoby</w:t>
            </w:r>
            <w:r w:rsidR="00F43004" w:rsidRPr="00C341D2">
              <w:t xml:space="preserve">, </w:t>
            </w:r>
            <w:r w:rsidR="00A22403" w:rsidRPr="00C341D2">
              <w:t>w projekcie niekonkurencyjnym pod nazwą „Czas na aktywizację (I</w:t>
            </w:r>
            <w:r w:rsidR="00A70456">
              <w:t>I</w:t>
            </w:r>
            <w:proofErr w:type="gramStart"/>
            <w:r w:rsidR="00A22403" w:rsidRPr="00C341D2">
              <w:t>)”, realizowanego</w:t>
            </w:r>
            <w:proofErr w:type="gramEnd"/>
            <w:r w:rsidR="00A22403" w:rsidRPr="00C341D2">
              <w:t xml:space="preserve"> ze środków Europejskiego Funduszu Społecznego Plus (EFS+), w ramach programu „Fundusze Europejskie dla Małopolski 2021-2027”, w ramach Działania 6.1 Aktywizacja Zawodowa – pro</w:t>
            </w:r>
            <w:r w:rsidR="00EE3AC8">
              <w:t xml:space="preserve">jekty powiatowych urzędów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300EB5">
              <w:rPr>
                <w:b/>
              </w:rPr>
              <w:t>27</w:t>
            </w:r>
            <w:r w:rsidRPr="00797502">
              <w:rPr>
                <w:b/>
              </w:rPr>
              <w:t>.0</w:t>
            </w:r>
            <w:r w:rsidR="003D6BBB">
              <w:rPr>
                <w:b/>
              </w:rPr>
              <w:t>5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  <w:r w:rsidR="007C6134" w:rsidRPr="00C341D2">
              <w:rPr>
                <w:b/>
              </w:rPr>
              <w:br/>
            </w: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D830BD">
        <w:trPr>
          <w:trHeight w:val="34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3D6BBB" w:rsidRPr="00296F95">
              <w:rPr>
                <w:rFonts w:cs="Tahoma"/>
                <w:b/>
              </w:rPr>
              <w:t>Operator wózków jezdniowych podnośnikowych z me</w:t>
            </w:r>
            <w:r w:rsidR="003D6BBB">
              <w:rPr>
                <w:rFonts w:cs="Tahoma"/>
                <w:b/>
              </w:rPr>
              <w:t xml:space="preserve">chanicznym napędem podnoszenia </w:t>
            </w:r>
            <w:r w:rsidR="003D6BBB" w:rsidRPr="00296F95">
              <w:rPr>
                <w:rFonts w:cs="Tahoma"/>
                <w:b/>
              </w:rPr>
              <w:t xml:space="preserve">z wysięgnikiem oraz wózków </w:t>
            </w:r>
            <w:r w:rsidR="003D6BBB">
              <w:rPr>
                <w:rFonts w:cs="Tahoma"/>
                <w:b/>
              </w:rPr>
              <w:t xml:space="preserve">jezdniowych podnośnikowych </w:t>
            </w:r>
            <w:r w:rsidR="003D6BBB" w:rsidRPr="00296F95">
              <w:rPr>
                <w:rFonts w:cs="Tahoma"/>
                <w:b/>
              </w:rPr>
              <w:t xml:space="preserve">z mechanicznym napędem podnoszenia </w:t>
            </w:r>
            <w:r w:rsidR="003D6BBB">
              <w:rPr>
                <w:rFonts w:cs="Tahoma"/>
                <w:b/>
              </w:rPr>
              <w:t xml:space="preserve">z osobą obsługującą podnoszoną </w:t>
            </w:r>
            <w:r w:rsidR="003D6BBB" w:rsidRPr="00296F95">
              <w:rPr>
                <w:rFonts w:cs="Tahoma"/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3D6BBB" w:rsidRPr="00296F95">
              <w:rPr>
                <w:rFonts w:cs="Tahoma"/>
                <w:b/>
              </w:rPr>
              <w:t xml:space="preserve">dla </w:t>
            </w:r>
            <w:r w:rsidR="007C2DDC" w:rsidRPr="003D6BBB">
              <w:rPr>
                <w:rFonts w:cs="Tahoma"/>
                <w:b/>
              </w:rPr>
              <w:t>1 oso</w:t>
            </w:r>
            <w:r w:rsidR="00EE3AC8" w:rsidRPr="003D6BBB">
              <w:rPr>
                <w:rFonts w:cs="Tahoma"/>
                <w:b/>
              </w:rPr>
              <w:t>b</w:t>
            </w:r>
            <w:r w:rsidR="007C2DDC" w:rsidRPr="003D6BBB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D76593">
              <w:t>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EE3AC8">
              <w:t>.</w:t>
            </w:r>
            <w:r w:rsidR="001A6CEB" w:rsidRPr="00AB7B0C">
              <w:rPr>
                <w:rFonts w:cs="Tahoma"/>
              </w:rPr>
              <w:t xml:space="preserve"> 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Osob</w:t>
            </w:r>
            <w:r w:rsidR="00EE3AC8">
              <w:rPr>
                <w:rFonts w:cs="Tahoma"/>
              </w:rPr>
              <w:t>y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4578B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A13698" w:rsidRPr="00F4578B" w:rsidRDefault="00F4578B" w:rsidP="00F4578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F4578B">
              <w:rPr>
                <w:rFonts w:cs="Tahoma"/>
                <w:color w:val="000000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certyfikatu lub zaświadczenia zawierającego: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1D4DC3">
              <w:t>I</w:t>
            </w:r>
            <w:r w:rsidR="00363AE5" w:rsidRPr="00C341D2">
              <w:t>)”, realizowanego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</w:t>
            </w:r>
            <w:r w:rsidR="00F4578B" w:rsidRPr="00AB7B0C">
              <w:rPr>
                <w:rFonts w:cs="Tahoma"/>
              </w:rPr>
              <w:t>onadto absolwent szkolenia winien otrzymać po pozytywnie zdanym egzaminie państwowym przeprowadzonym przez komisję powołaną przez Urząd Dozoru Technicznego zaświadczenie kwalifikacyjne zgodnie z Rozporządzeniem Ministra Przedsiębiorczości i Technologii z dnia 21 maja 2019</w:t>
            </w:r>
            <w:r w:rsidR="00F4578B">
              <w:rPr>
                <w:rFonts w:cs="Tahoma"/>
              </w:rPr>
              <w:t xml:space="preserve"> </w:t>
            </w:r>
            <w:r w:rsidR="00F4578B" w:rsidRPr="00AB7B0C">
              <w:rPr>
                <w:rFonts w:cs="Tahoma"/>
              </w:rPr>
              <w:t xml:space="preserve">r. w sprawie sposobu i trybu sprawdzania kwalifikacji wymaganych przy obsłudze i konserwacji urządzeń </w:t>
            </w:r>
            <w:r w:rsidR="00F4578B" w:rsidRPr="00AB7B0C">
              <w:rPr>
                <w:rFonts w:cs="Tahoma"/>
              </w:rPr>
              <w:lastRenderedPageBreak/>
              <w:t>technicznych oraz sposobu i trybu przedłużania okresu ważności zaświadczeń kwalifikacyjnych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F4578B">
              <w:rPr>
                <w:rFonts w:cs="Tahoma"/>
                <w:b/>
              </w:rPr>
              <w:t>1 sierpień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300EB5">
              <w:rPr>
                <w:rFonts w:cs="Tahoma"/>
                <w:b/>
                <w:bCs/>
                <w:color w:val="000000"/>
              </w:rPr>
              <w:t>27</w:t>
            </w:r>
            <w:r w:rsidR="00F4578B">
              <w:rPr>
                <w:rFonts w:cs="Tahoma"/>
                <w:b/>
                <w:bCs/>
                <w:color w:val="000000"/>
              </w:rPr>
              <w:t>.05.2024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CF7209">
              <w:rPr>
                <w:rFonts w:cs="Tahoma"/>
                <w:b/>
              </w:rPr>
              <w:t xml:space="preserve"> </w:t>
            </w:r>
            <w:r w:rsidR="00CF7209">
              <w:rPr>
                <w:b/>
              </w:rPr>
              <w:t>oraz z egzaminem UDT</w:t>
            </w:r>
            <w:r w:rsidR="00F546B3">
              <w:rPr>
                <w:b/>
              </w:rPr>
              <w:t xml:space="preserve"> dla 1 osoby</w:t>
            </w:r>
            <w:r w:rsidR="00F4578B">
              <w:rPr>
                <w:rFonts w:cs="Tahoma"/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oraz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270D9A" w:rsidRDefault="00270D9A" w:rsidP="00270D9A">
      <w:pPr>
        <w:spacing w:after="0"/>
        <w:rPr>
          <w:rFonts w:cs="Tahoma"/>
          <w:b/>
        </w:rPr>
      </w:pP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5B3E0B" w:rsidRDefault="005B3E0B" w:rsidP="005B3E0B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C278F" w:rsidRPr="00354532" w:rsidRDefault="00AC278F" w:rsidP="00354532">
      <w:pPr>
        <w:spacing w:after="0"/>
        <w:rPr>
          <w:rFonts w:cs="Tahoma"/>
          <w:b/>
        </w:rPr>
      </w:pPr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39"/>
  </w:num>
  <w:num w:numId="8">
    <w:abstractNumId w:val="14"/>
  </w:num>
  <w:num w:numId="9">
    <w:abstractNumId w:val="37"/>
  </w:num>
  <w:num w:numId="10">
    <w:abstractNumId w:val="18"/>
  </w:num>
  <w:num w:numId="11">
    <w:abstractNumId w:val="25"/>
  </w:num>
  <w:num w:numId="12">
    <w:abstractNumId w:val="1"/>
  </w:num>
  <w:num w:numId="13">
    <w:abstractNumId w:val="27"/>
  </w:num>
  <w:num w:numId="14">
    <w:abstractNumId w:val="7"/>
  </w:num>
  <w:num w:numId="15">
    <w:abstractNumId w:val="33"/>
  </w:num>
  <w:num w:numId="16">
    <w:abstractNumId w:val="35"/>
  </w:num>
  <w:num w:numId="17">
    <w:abstractNumId w:val="19"/>
  </w:num>
  <w:num w:numId="18">
    <w:abstractNumId w:val="17"/>
  </w:num>
  <w:num w:numId="19">
    <w:abstractNumId w:val="22"/>
  </w:num>
  <w:num w:numId="20">
    <w:abstractNumId w:val="8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9"/>
  </w:num>
  <w:num w:numId="27">
    <w:abstractNumId w:val="24"/>
  </w:num>
  <w:num w:numId="28">
    <w:abstractNumId w:val="0"/>
  </w:num>
  <w:num w:numId="29">
    <w:abstractNumId w:val="23"/>
  </w:num>
  <w:num w:numId="30">
    <w:abstractNumId w:val="11"/>
  </w:num>
  <w:num w:numId="31">
    <w:abstractNumId w:val="21"/>
  </w:num>
  <w:num w:numId="32">
    <w:abstractNumId w:val="28"/>
  </w:num>
  <w:num w:numId="33">
    <w:abstractNumId w:val="38"/>
  </w:num>
  <w:num w:numId="34">
    <w:abstractNumId w:val="29"/>
  </w:num>
  <w:num w:numId="35">
    <w:abstractNumId w:val="6"/>
  </w:num>
  <w:num w:numId="36">
    <w:abstractNumId w:val="10"/>
  </w:num>
  <w:num w:numId="37">
    <w:abstractNumId w:val="40"/>
  </w:num>
  <w:num w:numId="38">
    <w:abstractNumId w:val="32"/>
  </w:num>
  <w:num w:numId="39">
    <w:abstractNumId w:val="20"/>
  </w:num>
  <w:num w:numId="40">
    <w:abstractNumId w:val="34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4BF3"/>
    <w:rsid w:val="000A0A45"/>
    <w:rsid w:val="000C729F"/>
    <w:rsid w:val="000E2B28"/>
    <w:rsid w:val="000F28B7"/>
    <w:rsid w:val="001073B8"/>
    <w:rsid w:val="001166DC"/>
    <w:rsid w:val="0012573E"/>
    <w:rsid w:val="00156C4D"/>
    <w:rsid w:val="00161637"/>
    <w:rsid w:val="00173C19"/>
    <w:rsid w:val="001A2D28"/>
    <w:rsid w:val="001A6CEB"/>
    <w:rsid w:val="001D4DC3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C1865"/>
    <w:rsid w:val="003D6BBB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50713C"/>
    <w:rsid w:val="00513DCD"/>
    <w:rsid w:val="005247DE"/>
    <w:rsid w:val="00535EC2"/>
    <w:rsid w:val="00541664"/>
    <w:rsid w:val="00542728"/>
    <w:rsid w:val="005860FA"/>
    <w:rsid w:val="005954DE"/>
    <w:rsid w:val="005A0295"/>
    <w:rsid w:val="005A640D"/>
    <w:rsid w:val="005B3E0B"/>
    <w:rsid w:val="005C064D"/>
    <w:rsid w:val="00614D80"/>
    <w:rsid w:val="00652F3F"/>
    <w:rsid w:val="00654DCB"/>
    <w:rsid w:val="00677482"/>
    <w:rsid w:val="00677821"/>
    <w:rsid w:val="006A1FB7"/>
    <w:rsid w:val="006A7CE1"/>
    <w:rsid w:val="006B5246"/>
    <w:rsid w:val="006B616D"/>
    <w:rsid w:val="006C2A1B"/>
    <w:rsid w:val="006C352F"/>
    <w:rsid w:val="006C655A"/>
    <w:rsid w:val="006D7C2B"/>
    <w:rsid w:val="006E5C71"/>
    <w:rsid w:val="006E642F"/>
    <w:rsid w:val="006F1BE8"/>
    <w:rsid w:val="0071413A"/>
    <w:rsid w:val="00724537"/>
    <w:rsid w:val="00725367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7B6B"/>
    <w:rsid w:val="00AA01BF"/>
    <w:rsid w:val="00AA2DDD"/>
    <w:rsid w:val="00AB7B0C"/>
    <w:rsid w:val="00AC278F"/>
    <w:rsid w:val="00AD14F8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C33A44"/>
    <w:rsid w:val="00C341D2"/>
    <w:rsid w:val="00C34BF0"/>
    <w:rsid w:val="00C36590"/>
    <w:rsid w:val="00C51714"/>
    <w:rsid w:val="00C72465"/>
    <w:rsid w:val="00CB0E5A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6417"/>
    <w:rsid w:val="00DC32B3"/>
    <w:rsid w:val="00DD7F30"/>
    <w:rsid w:val="00DF217E"/>
    <w:rsid w:val="00DF313D"/>
    <w:rsid w:val="00E000AD"/>
    <w:rsid w:val="00E064EF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830BD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0BD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D44A-E114-40F8-93E5-44DF3D7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19</cp:revision>
  <cp:lastPrinted>2024-05-20T06:02:00Z</cp:lastPrinted>
  <dcterms:created xsi:type="dcterms:W3CDTF">2024-03-25T11:23:00Z</dcterms:created>
  <dcterms:modified xsi:type="dcterms:W3CDTF">2024-05-20T06:39:00Z</dcterms:modified>
</cp:coreProperties>
</file>