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AD597" w14:textId="70B37328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38044A">
        <w:rPr>
          <w:rFonts w:cs="Tahoma"/>
        </w:rPr>
        <w:t>31</w:t>
      </w:r>
      <w:r w:rsidR="00117E62" w:rsidRPr="0023650A">
        <w:rPr>
          <w:rFonts w:cs="Tahoma"/>
        </w:rPr>
        <w:t>.0</w:t>
      </w:r>
      <w:r w:rsidR="00706C81">
        <w:rPr>
          <w:rFonts w:cs="Tahoma"/>
        </w:rPr>
        <w:t>7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r.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62E604FB" w:rsidR="00C26EF0" w:rsidRPr="00593D55" w:rsidRDefault="0038044A" w:rsidP="003E5720">
      <w:pPr>
        <w:spacing w:after="120" w:line="240" w:lineRule="auto"/>
        <w:rPr>
          <w:rFonts w:cs="Tahoma"/>
        </w:rPr>
      </w:pPr>
      <w:r>
        <w:rPr>
          <w:rFonts w:cs="Tahoma"/>
        </w:rPr>
        <w:t>CAZ.PZS.551-30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BDB897" w14:textId="66247C8F" w:rsidR="008812CD" w:rsidRDefault="008812CD" w:rsidP="00304375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20CB5849" wp14:editId="3406B64C">
                  <wp:extent cx="3740150" cy="1261745"/>
                  <wp:effectExtent l="0" t="0" r="0" b="0"/>
                  <wp:docPr id="1" name="Obraz 1" descr="C:\Users\piotr\Downloads\Logotyp MRPiP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piotr\Downloads\Logotyp MRPiP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F1BB5" w14:textId="7D26CF09" w:rsidR="00FA74EF" w:rsidRDefault="00FA74EF" w:rsidP="00304375">
            <w:pPr>
              <w:pStyle w:val="Nagwek1"/>
              <w:outlineLvl w:val="0"/>
            </w:pPr>
            <w:r>
              <w:t>ZAPYTANIE OFERTOWE NA PRZE</w:t>
            </w:r>
            <w:r w:rsidR="00304375">
              <w:t>PROWADZENIE USŁUGI SZKOLENIOWEJ:</w:t>
            </w:r>
          </w:p>
          <w:p w14:paraId="0753D2D4" w14:textId="77777777" w:rsidR="00304375" w:rsidRDefault="00304375" w:rsidP="00304375">
            <w:pPr>
              <w:rPr>
                <w:rFonts w:cs="Tahoma"/>
                <w:b/>
                <w:color w:val="000000"/>
              </w:rPr>
            </w:pPr>
            <w:r w:rsidRPr="00304375">
              <w:rPr>
                <w:b/>
              </w:rPr>
              <w:t>„Kurs księgowości I stopnia”</w:t>
            </w:r>
            <w:r>
              <w:rPr>
                <w:b/>
              </w:rPr>
              <w:t xml:space="preserve"> dla 1 osoby </w:t>
            </w:r>
            <w:r w:rsidR="00706C81">
              <w:rPr>
                <w:rFonts w:cs="Tahoma"/>
                <w:b/>
                <w:color w:val="000000"/>
              </w:rPr>
              <w:t>w ramach środków rezerwy Funduszu Pracy</w:t>
            </w:r>
          </w:p>
          <w:p w14:paraId="0BC18ABD" w14:textId="155823A3" w:rsidR="0038044A" w:rsidRPr="00304375" w:rsidRDefault="0038044A" w:rsidP="00304375">
            <w:pPr>
              <w:rPr>
                <w:b/>
              </w:rPr>
            </w:pPr>
          </w:p>
        </w:tc>
      </w:tr>
      <w:tr w:rsidR="00FA74EF" w14:paraId="6614AF7B" w14:textId="77777777" w:rsidTr="00962CF0">
        <w:trPr>
          <w:trHeight w:val="20"/>
        </w:trPr>
        <w:tc>
          <w:tcPr>
            <w:tcW w:w="103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3B37DC49" w:rsidR="00FA74EF" w:rsidRDefault="00FA74EF" w:rsidP="00962CF0">
            <w:pPr>
              <w:spacing w:after="240"/>
            </w:pPr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706C81" w:rsidRPr="00304375">
              <w:rPr>
                <w:b/>
              </w:rPr>
              <w:t>„Kurs księgowości I stopnia”</w:t>
            </w:r>
            <w:r w:rsidR="00706C81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</w:t>
            </w:r>
            <w:r w:rsidR="00706C81">
              <w:rPr>
                <w:rFonts w:cs="Tahoma"/>
                <w:b/>
                <w:color w:val="000000"/>
              </w:rPr>
              <w:t xml:space="preserve">rezerwy </w:t>
            </w:r>
            <w:r>
              <w:rPr>
                <w:rFonts w:cs="Tahoma"/>
                <w:b/>
                <w:color w:val="000000"/>
              </w:rPr>
              <w:t xml:space="preserve">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7622CD">
              <w:rPr>
                <w:rFonts w:cs="Tahoma"/>
                <w:b/>
                <w:color w:val="000000"/>
              </w:rPr>
              <w:t>07.08</w:t>
            </w:r>
            <w:r w:rsidR="00962CF0">
              <w:rPr>
                <w:rFonts w:cs="Tahoma"/>
                <w:b/>
                <w:color w:val="000000"/>
              </w:rPr>
              <w:t>.2025 r.</w:t>
            </w:r>
          </w:p>
        </w:tc>
      </w:tr>
      <w:tr w:rsidR="00FA74EF" w14:paraId="18EBBAD8" w14:textId="77777777" w:rsidTr="00706C81">
        <w:trPr>
          <w:trHeight w:val="540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706C81">
        <w:trPr>
          <w:trHeight w:val="1021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6064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12A2C438" w:rsidR="00FA74EF" w:rsidRDefault="00FA74EF" w:rsidP="007622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</w:t>
            </w:r>
            <w:r w:rsidR="007622CD">
              <w:rPr>
                <w:rFonts w:cs="Tahoma"/>
              </w:rPr>
              <w:t>nia i instytucjach rynku pracy</w:t>
            </w:r>
            <w:r>
              <w:rPr>
                <w:rFonts w:cs="Tahoma"/>
              </w:rPr>
              <w:t>.</w:t>
            </w:r>
          </w:p>
        </w:tc>
      </w:tr>
      <w:tr w:rsidR="00FA74EF" w14:paraId="03BD3800" w14:textId="77777777" w:rsidTr="00706C81">
        <w:trPr>
          <w:trHeight w:val="567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706C81">
        <w:trPr>
          <w:trHeight w:val="2268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404533DF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FC7D6B" w:rsidRPr="00304375">
              <w:rPr>
                <w:b/>
              </w:rPr>
              <w:t>„Kurs księgowości I stopnia”</w:t>
            </w:r>
            <w:r w:rsidR="00FC7D6B">
              <w:rPr>
                <w:b/>
              </w:rPr>
              <w:t xml:space="preserve"> dla </w:t>
            </w:r>
            <w:r w:rsidR="00FC7D6B">
              <w:rPr>
                <w:rFonts w:cs="Tahoma"/>
                <w:b/>
                <w:color w:val="000000"/>
              </w:rPr>
              <w:t>1 osoby</w:t>
            </w:r>
            <w:r w:rsidR="00FC7D6B">
              <w:rPr>
                <w:rFonts w:cs="Tahoma"/>
                <w:color w:val="000000"/>
              </w:rPr>
              <w:t xml:space="preserve"> </w:t>
            </w:r>
            <w:r w:rsidR="00FC7D6B">
              <w:rPr>
                <w:rFonts w:cs="Tahoma"/>
                <w:b/>
                <w:color w:val="000000"/>
              </w:rPr>
              <w:t>w ramach środków rezerwy Funduszu Pracy.</w:t>
            </w:r>
          </w:p>
          <w:p w14:paraId="39E9A7F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3A83695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i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nazwę szkolenia,</w:t>
            </w:r>
          </w:p>
          <w:p w14:paraId="3862792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czas trwania i sposób organizacji szkolenia,</w:t>
            </w:r>
          </w:p>
          <w:p w14:paraId="34CF112E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wymagania wstępne dla uczestników szkolenia,</w:t>
            </w:r>
          </w:p>
          <w:p w14:paraId="06D2F226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opis treści – kluczowe punkty szkolenia w zakresie poszczególnych zajęć edukacyjnych,</w:t>
            </w:r>
          </w:p>
          <w:p w14:paraId="23C48F3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wykaz literatury oraz niezbędnych środków i materiałów dydaktycznych,</w:t>
            </w:r>
          </w:p>
          <w:p w14:paraId="46B66048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przewidziane sprawdziany i egzaminy.</w:t>
            </w:r>
          </w:p>
          <w:p w14:paraId="0C070FEA" w14:textId="549AF800" w:rsidR="002451C5" w:rsidRPr="002451C5" w:rsidRDefault="002451C5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706C81">
              <w:rPr>
                <w:b/>
              </w:rPr>
              <w:t>8</w:t>
            </w:r>
            <w:r w:rsidR="00103979">
              <w:rPr>
                <w:b/>
              </w:rPr>
              <w:t>0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</w:t>
            </w:r>
            <w:r w:rsidR="00AF4B67">
              <w:t>teoretyczną i praktyczną</w:t>
            </w:r>
            <w:r>
              <w:t>.</w:t>
            </w:r>
          </w:p>
          <w:p w14:paraId="0FADA86F" w14:textId="071CB71D" w:rsidR="00706C81" w:rsidRPr="00706C81" w:rsidRDefault="002451C5" w:rsidP="00706C8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5568DC70" w14:textId="25AD332C" w:rsidR="00706C81" w:rsidRPr="00706C81" w:rsidRDefault="00706C81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706C81">
              <w:rPr>
                <w:b/>
              </w:rPr>
              <w:t xml:space="preserve">Formy prowadzenia działalności gospodarczej: </w:t>
            </w:r>
            <w:r w:rsidRPr="0074600C">
              <w:t>p</w:t>
            </w:r>
            <w:r>
              <w:t>odstawy prawne działalności gospodarczej w Polsce, formy prowadzenia działalności gospodarczej, rodzaje, podział i pojęcie podatków w działalności, gospodarczej, rozliczenia publicznoprawne w działalności gospodarczej.</w:t>
            </w:r>
          </w:p>
          <w:p w14:paraId="32DD8610" w14:textId="38600C4A" w:rsidR="00706C81" w:rsidRPr="00706C81" w:rsidRDefault="00706C81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706C81">
              <w:rPr>
                <w:b/>
              </w:rPr>
              <w:t xml:space="preserve">Formy opodatkowania działalności gospodarczej: </w:t>
            </w:r>
            <w:r>
              <w:t>karta podatkowa</w:t>
            </w:r>
            <w:r w:rsidRPr="00706C81">
              <w:rPr>
                <w:b/>
              </w:rPr>
              <w:t xml:space="preserve">, </w:t>
            </w:r>
            <w:r>
              <w:t>ryczałt</w:t>
            </w:r>
            <w:r w:rsidRPr="00706C81">
              <w:rPr>
                <w:b/>
              </w:rPr>
              <w:t>, z</w:t>
            </w:r>
            <w:r>
              <w:t>asady ogólne</w:t>
            </w:r>
            <w:r w:rsidRPr="00706C81">
              <w:rPr>
                <w:b/>
              </w:rPr>
              <w:t xml:space="preserve">, </w:t>
            </w:r>
            <w:r>
              <w:t>Księga Handlowa.</w:t>
            </w:r>
          </w:p>
          <w:p w14:paraId="776CD153" w14:textId="303D02E7" w:rsidR="00706C81" w:rsidRPr="00706C81" w:rsidRDefault="00706C81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706C81">
              <w:rPr>
                <w:b/>
              </w:rPr>
              <w:t xml:space="preserve">Podatkowa książka przychodów i rozchodów: </w:t>
            </w:r>
            <w:r w:rsidRPr="008A0EA2">
              <w:t>o</w:t>
            </w:r>
            <w:r>
              <w:t xml:space="preserve">bowiązek i zasady prowadzenia podatkowej książki przychodów i rozchodów oraz wybór metody opodatkowania; </w:t>
            </w:r>
            <w:r w:rsidRPr="008A0EA2">
              <w:t>d</w:t>
            </w:r>
            <w:r>
              <w:t>owody księgowe i ich klasyfikacja; źródła przychodów i ich ewidencja; koszty uzyskania przychodów; rodzaje kosztów oraz sposób ich księgowania;</w:t>
            </w:r>
            <w:r w:rsidRPr="00706C81">
              <w:rPr>
                <w:b/>
              </w:rPr>
              <w:t xml:space="preserve"> ś</w:t>
            </w:r>
            <w:r>
              <w:t>rodki trwałe, wartości niematerialne i prawne: wycena i przyjęcie do użytkowania, metody amortyzacji; samochód osobowy w firmie(właściciela, pracownika);</w:t>
            </w:r>
            <w:r w:rsidRPr="00706C81">
              <w:rPr>
                <w:b/>
              </w:rPr>
              <w:t xml:space="preserve"> </w:t>
            </w:r>
            <w:r w:rsidRPr="008A0EA2">
              <w:t>d</w:t>
            </w:r>
            <w:r>
              <w:t>elegacja a podróż służbowa;</w:t>
            </w:r>
            <w:r w:rsidRPr="00706C81">
              <w:rPr>
                <w:b/>
              </w:rPr>
              <w:t xml:space="preserve"> i</w:t>
            </w:r>
            <w:r>
              <w:t>nwentaryzacja, wycena zapasów; wynik na działalności gospodarczej, odliczenie straty z lat ubiegłych; rozliczenie roczne podatku dochodowego od osób fizycznych.</w:t>
            </w:r>
          </w:p>
          <w:p w14:paraId="24A7623A" w14:textId="278D8D32" w:rsidR="00706C81" w:rsidRPr="00706C81" w:rsidRDefault="00706C81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706C81">
              <w:rPr>
                <w:b/>
              </w:rPr>
              <w:t xml:space="preserve">Podstawy rachunkowości: </w:t>
            </w:r>
            <w:r w:rsidRPr="00D00509">
              <w:t>i</w:t>
            </w:r>
            <w:r>
              <w:t>stota, przedmiot, funkcje i zasady rachunkowości, regulacje prawne; zasoby majątkowe i źródła ich finansowania;</w:t>
            </w:r>
            <w:r w:rsidRPr="00706C81">
              <w:rPr>
                <w:b/>
              </w:rPr>
              <w:t xml:space="preserve"> </w:t>
            </w:r>
            <w:r w:rsidRPr="00D00509">
              <w:t>c</w:t>
            </w:r>
            <w:r>
              <w:t>harakterystyka majątku i kapitałów (aktywa, pasywa);</w:t>
            </w:r>
            <w:r w:rsidRPr="00706C81">
              <w:rPr>
                <w:b/>
              </w:rPr>
              <w:t xml:space="preserve"> </w:t>
            </w:r>
            <w:r>
              <w:t>cechy i układ bilansu;</w:t>
            </w:r>
            <w:r w:rsidRPr="00706C81">
              <w:rPr>
                <w:b/>
              </w:rPr>
              <w:t xml:space="preserve"> o</w:t>
            </w:r>
            <w:r>
              <w:t xml:space="preserve">peracje gospodarcze i ich wpływ na bilans; </w:t>
            </w:r>
            <w:r w:rsidRPr="00D00509">
              <w:t>p</w:t>
            </w:r>
            <w:r>
              <w:t xml:space="preserve">ojęcie konta księgowego; </w:t>
            </w:r>
            <w:r w:rsidRPr="00D00509">
              <w:t>e</w:t>
            </w:r>
            <w:r>
              <w:t>widencja operacji bilansowych; konta bilansowe; konta syntetyczne i konta analityczne; zestawienie obrotów i sald, ewidencja operacji wynikowych, konta wynikowe, poprawianie błędów księgowych (storno);</w:t>
            </w:r>
            <w:r w:rsidRPr="00706C81">
              <w:rPr>
                <w:b/>
              </w:rPr>
              <w:t xml:space="preserve"> </w:t>
            </w:r>
            <w:r w:rsidRPr="00D00509">
              <w:t>d</w:t>
            </w:r>
            <w:r>
              <w:t>owody księgowe;</w:t>
            </w:r>
            <w:r w:rsidRPr="00706C81">
              <w:rPr>
                <w:b/>
              </w:rPr>
              <w:t xml:space="preserve"> </w:t>
            </w:r>
            <w:r w:rsidRPr="00D00509">
              <w:t>k</w:t>
            </w:r>
            <w:r>
              <w:t>sięgi rachunkowe: charakterystyka ksiąg, polityka rachunkowości, zakładowy plan kont;</w:t>
            </w:r>
            <w:r w:rsidRPr="00D00509">
              <w:t xml:space="preserve"> podstawowa</w:t>
            </w:r>
            <w:r>
              <w:t xml:space="preserve"> i pozostała działalność operacyjna, działalność finansowa, rachunek zysków </w:t>
            </w:r>
            <w:r w:rsidR="00962CF0">
              <w:br/>
            </w:r>
            <w:r>
              <w:t>i strat, aktywa pieniężne i rozrachunki; rzeczowe aktywa trwałe oraz wartości niematerialne</w:t>
            </w:r>
            <w:r w:rsidR="00962CF0">
              <w:br/>
            </w:r>
            <w:r>
              <w:t>i prawne (amortyzacja, środki trwałe w budowie, likwidacja środków trwałych); obrót materiałowy i towarowy; sprawozdanie finansowe</w:t>
            </w:r>
            <w:r w:rsidRPr="00706C81">
              <w:rPr>
                <w:b/>
              </w:rPr>
              <w:t xml:space="preserve">, </w:t>
            </w:r>
            <w:r w:rsidRPr="00D00509">
              <w:t>p</w:t>
            </w:r>
            <w:r>
              <w:t>odstawy etyki zawodowej w rachunkowości.</w:t>
            </w:r>
          </w:p>
          <w:p w14:paraId="44701553" w14:textId="529644A6" w:rsidR="00706C81" w:rsidRPr="00706C81" w:rsidRDefault="00706C81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706C81">
              <w:rPr>
                <w:b/>
              </w:rPr>
              <w:t>Podatek od towarów i usług VAT:</w:t>
            </w:r>
            <w:r w:rsidRPr="00D00509">
              <w:t xml:space="preserve"> istota</w:t>
            </w:r>
            <w:r>
              <w:t xml:space="preserve"> podatku VAT; rejestracja podatnika; podstawy prawne wystawiania faktur; faktura jako podstawowe narzędzie rozliczania podatku VAT; ogólne zasady wystawiania faktur i fakturowania zaliczek, zasady korygowania danych na fakturach;</w:t>
            </w:r>
            <w:r w:rsidRPr="00706C81">
              <w:rPr>
                <w:b/>
              </w:rPr>
              <w:t xml:space="preserve"> </w:t>
            </w:r>
            <w:r w:rsidRPr="00D00509">
              <w:t>p</w:t>
            </w:r>
            <w:r>
              <w:t>odstępowanie podatnika w przypadku zagubienia lub zniszczenia faktury;</w:t>
            </w:r>
            <w:r w:rsidRPr="00706C81">
              <w:rPr>
                <w:b/>
              </w:rPr>
              <w:t xml:space="preserve"> </w:t>
            </w:r>
            <w:r w:rsidRPr="00D00509">
              <w:t>k</w:t>
            </w:r>
            <w:r>
              <w:t>onsekwencje wystawienia błędnej faktury; rejestry VAT; mechanizm podzielonej płatności; odwrotne obciążenie w transakcjach krajowych; zasady archiwizacji i przechowywania faktur; kasy rejestrujące.</w:t>
            </w:r>
          </w:p>
          <w:p w14:paraId="1AEEEB38" w14:textId="7067F963" w:rsidR="00706C81" w:rsidRDefault="00706C81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706C81">
              <w:rPr>
                <w:b/>
              </w:rPr>
              <w:t xml:space="preserve">Wynagrodzenia w firmie: </w:t>
            </w:r>
            <w:r w:rsidRPr="008A0EA2">
              <w:t>s</w:t>
            </w:r>
            <w:r>
              <w:t xml:space="preserve">ystem podatkowy w Polsce; ubezpieczenia społeczne i zdrowotne; zatrudnianie i zwalnianie pracowników; rozliczenia podatkowo-składkowe; konstrukcja listy płac; sporządzanie i księgowanie listy płacy w programie </w:t>
            </w:r>
            <w:proofErr w:type="spellStart"/>
            <w:r>
              <w:t>Comarch</w:t>
            </w:r>
            <w:proofErr w:type="spellEnd"/>
            <w:r>
              <w:t xml:space="preserve"> ERP Optima, program Płatnik – funkcjonalność.</w:t>
            </w:r>
          </w:p>
          <w:p w14:paraId="307FB6EF" w14:textId="3833AB3E" w:rsidR="00706C81" w:rsidRPr="00706C81" w:rsidRDefault="00706C81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706C81">
              <w:rPr>
                <w:b/>
              </w:rPr>
              <w:t xml:space="preserve">Warsztaty na programie </w:t>
            </w:r>
            <w:proofErr w:type="spellStart"/>
            <w:r w:rsidRPr="00706C81">
              <w:rPr>
                <w:b/>
              </w:rPr>
              <w:t>Comarch</w:t>
            </w:r>
            <w:proofErr w:type="spellEnd"/>
            <w:r w:rsidRPr="00706C81">
              <w:rPr>
                <w:b/>
              </w:rPr>
              <w:t xml:space="preserve"> ERP Optima: </w:t>
            </w:r>
            <w:r w:rsidRPr="008A0EA2">
              <w:t>p</w:t>
            </w:r>
            <w:r>
              <w:t xml:space="preserve">odstawowe funkcje obsługi programu; konfiguracja programu </w:t>
            </w:r>
            <w:proofErr w:type="spellStart"/>
            <w:r>
              <w:t>Comarch</w:t>
            </w:r>
            <w:proofErr w:type="spellEnd"/>
            <w:r>
              <w:t xml:space="preserve"> ERP Optima; moduł Księga Podatkowa;</w:t>
            </w:r>
            <w:r w:rsidRPr="00706C81">
              <w:rPr>
                <w:b/>
              </w:rPr>
              <w:t xml:space="preserve"> </w:t>
            </w:r>
            <w:r w:rsidRPr="008A0EA2">
              <w:t>m</w:t>
            </w:r>
            <w:r>
              <w:t xml:space="preserve">oduł Kasa/Bank (rozliczenia i dokumenty </w:t>
            </w:r>
            <w:r w:rsidR="00962CF0">
              <w:t>kasowo-</w:t>
            </w:r>
            <w:r>
              <w:t>bankowe);</w:t>
            </w:r>
            <w:r w:rsidRPr="00706C81">
              <w:rPr>
                <w:b/>
              </w:rPr>
              <w:t xml:space="preserve"> </w:t>
            </w:r>
            <w:r w:rsidRPr="008A0EA2">
              <w:t>m</w:t>
            </w:r>
            <w:r>
              <w:t>oduł Handel (faktura, dokumenty magazynowo); moduł Rejestry VAT, Jednolity Plik Kontrolny; moduł Środki trwałe;</w:t>
            </w:r>
            <w:r w:rsidRPr="00706C81">
              <w:rPr>
                <w:b/>
              </w:rPr>
              <w:t xml:space="preserve"> </w:t>
            </w:r>
            <w:r w:rsidRPr="00442686">
              <w:t>m</w:t>
            </w:r>
            <w:r>
              <w:t>oduł Księga Handlowa (plan kont, tworzenie bilansu otwarcia, ewidencja operacji gospodarczych.</w:t>
            </w:r>
          </w:p>
          <w:p w14:paraId="03014105" w14:textId="0A15A121" w:rsidR="006709D3" w:rsidRPr="002451C5" w:rsidRDefault="006709D3" w:rsidP="0060643A">
            <w:pPr>
              <w:pStyle w:val="Akapitzlist"/>
              <w:numPr>
                <w:ilvl w:val="0"/>
                <w:numId w:val="6"/>
              </w:numPr>
              <w:spacing w:after="120"/>
            </w:pPr>
            <w:r>
              <w:t xml:space="preserve">Szkolenie ma zakończyć się </w:t>
            </w:r>
            <w:r w:rsidRPr="00653A74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w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AE4D8F0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Wymaga się, aby każdy z wykładowców posiadał</w:t>
            </w:r>
            <w:r w:rsidR="005355DF">
              <w:rPr>
                <w:rFonts w:cs="Tahoma"/>
                <w:b/>
              </w:rPr>
              <w:t>,</w:t>
            </w:r>
            <w:r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3F3D84F1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etapach wybranymi przez siebie metodami.</w:t>
            </w:r>
          </w:p>
          <w:p w14:paraId="7AAEFBA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 xml:space="preserve">numer z rejestru, </w:t>
            </w:r>
          </w:p>
          <w:p w14:paraId="133EE449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nazwę instytucji szkoleniowej przeprowadzającej szkolenie,</w:t>
            </w:r>
          </w:p>
          <w:p w14:paraId="1A1AF58C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formę i nazwę szkolenia,</w:t>
            </w:r>
          </w:p>
          <w:p w14:paraId="174AB495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okres trwania szkolenia,</w:t>
            </w:r>
          </w:p>
          <w:p w14:paraId="27FE7EDD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tematy i wymiar godzin zajęć edukacyjnych,</w:t>
            </w:r>
          </w:p>
          <w:p w14:paraId="165DC67A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podpis osoby upoważnionej przez instytucję szkoleniową przeprowadzającą szkolenie.</w:t>
            </w:r>
          </w:p>
          <w:p w14:paraId="2693F1BE" w14:textId="225CB31E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FC7D6B">
              <w:rPr>
                <w:rFonts w:cs="Tahoma"/>
                <w:b/>
              </w:rPr>
              <w:t xml:space="preserve"> do 30 listopad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119C213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Zamawiający </w:t>
            </w:r>
            <w:r w:rsidR="0009713D">
              <w:rPr>
                <w:rFonts w:cs="Tahoma"/>
              </w:rPr>
              <w:t xml:space="preserve">nie </w:t>
            </w:r>
            <w:r>
              <w:rPr>
                <w:rFonts w:cs="Tahoma"/>
              </w:rPr>
              <w:t>dopuszcza możliwoś</w:t>
            </w:r>
            <w:r w:rsidR="0009713D">
              <w:rPr>
                <w:rFonts w:cs="Tahoma"/>
              </w:rPr>
              <w:t>ci</w:t>
            </w:r>
            <w:bookmarkStart w:id="0" w:name="_GoBack"/>
            <w:bookmarkEnd w:id="0"/>
            <w:r>
              <w:rPr>
                <w:rFonts w:cs="Tahoma"/>
              </w:rPr>
              <w:t xml:space="preserve"> zmiany terminu realizacji zamówienia.</w:t>
            </w:r>
          </w:p>
          <w:p w14:paraId="35BA1F08" w14:textId="3EFE6254" w:rsidR="00F9713A" w:rsidRDefault="00214FDA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Miejsce realizacji szkolenia: Szkolenie </w:t>
            </w:r>
            <w:r w:rsidRPr="0023722D">
              <w:rPr>
                <w:rFonts w:cs="Tahoma"/>
              </w:rPr>
              <w:t>m</w:t>
            </w:r>
            <w:r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 przeprowadzone szkolenie do miejscowości będącej siedzibą Zamawiającego nie może przekroczyć 60 km</w:t>
            </w:r>
            <w:r>
              <w:rPr>
                <w:rFonts w:cs="Tahoma"/>
              </w:rPr>
              <w:t>.</w:t>
            </w:r>
          </w:p>
          <w:p w14:paraId="20406F5C" w14:textId="5608D342" w:rsidR="00256CF7" w:rsidRPr="00443A3A" w:rsidRDefault="00443A3A" w:rsidP="00443A3A">
            <w:pPr>
              <w:pStyle w:val="Akapitzlist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74EF" w14:paraId="4FB5E8FD" w14:textId="77777777" w:rsidTr="00706C81">
        <w:trPr>
          <w:trHeight w:val="478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706C81">
        <w:trPr>
          <w:trHeight w:val="823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6F90CD30" w:rsidR="00FA74EF" w:rsidRPr="00B935A0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7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FC7D6B">
              <w:rPr>
                <w:rFonts w:cs="Tahoma"/>
                <w:b/>
                <w:bCs/>
                <w:color w:val="000000"/>
              </w:rPr>
              <w:t>do dnia 0</w:t>
            </w:r>
            <w:r w:rsidR="007622CD">
              <w:rPr>
                <w:rFonts w:cs="Tahoma"/>
                <w:b/>
                <w:bCs/>
                <w:color w:val="000000"/>
              </w:rPr>
              <w:t>7.08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r.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F9713A" w:rsidRPr="00304375">
              <w:rPr>
                <w:b/>
              </w:rPr>
              <w:t>„Kurs księgowości I stopnia”</w:t>
            </w:r>
            <w:r w:rsidR="00F9713A">
              <w:rPr>
                <w:b/>
              </w:rPr>
              <w:t>.</w:t>
            </w:r>
          </w:p>
          <w:p w14:paraId="769DAE2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2E13A652" w:rsidR="006573EF" w:rsidRPr="008117AC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oraz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8117AC">
      <w:pPr>
        <w:spacing w:after="0" w:line="240" w:lineRule="auto"/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09CE8894" w14:textId="77777777" w:rsidR="00D44E84" w:rsidRDefault="00D44E84" w:rsidP="004A27C2"/>
    <w:p w14:paraId="06240EE7" w14:textId="77777777" w:rsidR="00B35C21" w:rsidRDefault="00B35C21" w:rsidP="00B35C21">
      <w:pPr>
        <w:spacing w:after="0"/>
        <w:rPr>
          <w:rFonts w:cs="Tahoma"/>
          <w:b/>
        </w:rPr>
      </w:pPr>
      <w:r>
        <w:rPr>
          <w:rFonts w:cs="Tahoma"/>
          <w:b/>
        </w:rPr>
        <w:t>up. Starosty</w:t>
      </w:r>
    </w:p>
    <w:p w14:paraId="305C70C3" w14:textId="77777777" w:rsidR="00B35C21" w:rsidRDefault="00B35C21" w:rsidP="00B35C21">
      <w:pPr>
        <w:spacing w:after="0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655EAF32" w14:textId="77777777" w:rsidR="00B35C21" w:rsidRDefault="00B35C21" w:rsidP="00B35C21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14:paraId="7C740081" w14:textId="77777777" w:rsidR="00B35C21" w:rsidRDefault="00B35C21" w:rsidP="00B35C21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535A4E43" w14:textId="77777777" w:rsidR="00D44E84" w:rsidRDefault="00D44E84" w:rsidP="004A27C2"/>
    <w:sectPr w:rsidR="00D44E84" w:rsidSect="006064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903"/>
    <w:multiLevelType w:val="hybridMultilevel"/>
    <w:tmpl w:val="9E10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4B92"/>
    <w:multiLevelType w:val="hybridMultilevel"/>
    <w:tmpl w:val="A5D69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E6424"/>
    <w:multiLevelType w:val="hybridMultilevel"/>
    <w:tmpl w:val="2004ABB6"/>
    <w:lvl w:ilvl="0" w:tplc="D6E0F7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73C"/>
    <w:multiLevelType w:val="multilevel"/>
    <w:tmpl w:val="1D7203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7" w15:restartNumberingAfterBreak="0">
    <w:nsid w:val="5C305496"/>
    <w:multiLevelType w:val="hybridMultilevel"/>
    <w:tmpl w:val="A484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E6680"/>
    <w:multiLevelType w:val="hybridMultilevel"/>
    <w:tmpl w:val="29E0CB7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D0A62"/>
    <w:multiLevelType w:val="hybridMultilevel"/>
    <w:tmpl w:val="E5BCE9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C5EBB"/>
    <w:multiLevelType w:val="hybridMultilevel"/>
    <w:tmpl w:val="0F0E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31D39"/>
    <w:multiLevelType w:val="hybridMultilevel"/>
    <w:tmpl w:val="8092F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F4628"/>
    <w:multiLevelType w:val="hybridMultilevel"/>
    <w:tmpl w:val="6EE01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43"/>
    <w:rsid w:val="000374A5"/>
    <w:rsid w:val="000707F0"/>
    <w:rsid w:val="00081212"/>
    <w:rsid w:val="00084BF3"/>
    <w:rsid w:val="0009133C"/>
    <w:rsid w:val="0009713D"/>
    <w:rsid w:val="000A0A45"/>
    <w:rsid w:val="000A5995"/>
    <w:rsid w:val="000C37E0"/>
    <w:rsid w:val="000C5447"/>
    <w:rsid w:val="000C729F"/>
    <w:rsid w:val="000D7B0A"/>
    <w:rsid w:val="000F1D3E"/>
    <w:rsid w:val="000F28B7"/>
    <w:rsid w:val="00103979"/>
    <w:rsid w:val="001166DC"/>
    <w:rsid w:val="00117E62"/>
    <w:rsid w:val="0012573E"/>
    <w:rsid w:val="00127B78"/>
    <w:rsid w:val="00133507"/>
    <w:rsid w:val="00173C19"/>
    <w:rsid w:val="001972E6"/>
    <w:rsid w:val="001A39F2"/>
    <w:rsid w:val="001C5619"/>
    <w:rsid w:val="001D2895"/>
    <w:rsid w:val="001E57D0"/>
    <w:rsid w:val="001E5E24"/>
    <w:rsid w:val="001F2D90"/>
    <w:rsid w:val="00214FDA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04375"/>
    <w:rsid w:val="00325755"/>
    <w:rsid w:val="00341E73"/>
    <w:rsid w:val="00344021"/>
    <w:rsid w:val="00366A70"/>
    <w:rsid w:val="0038044A"/>
    <w:rsid w:val="00385D46"/>
    <w:rsid w:val="00386B08"/>
    <w:rsid w:val="00395C26"/>
    <w:rsid w:val="003B2284"/>
    <w:rsid w:val="003C299A"/>
    <w:rsid w:val="003C548B"/>
    <w:rsid w:val="003D5CE7"/>
    <w:rsid w:val="003E5720"/>
    <w:rsid w:val="003E7D75"/>
    <w:rsid w:val="00410B84"/>
    <w:rsid w:val="00420B5A"/>
    <w:rsid w:val="004232AC"/>
    <w:rsid w:val="00435C96"/>
    <w:rsid w:val="00436E08"/>
    <w:rsid w:val="00441583"/>
    <w:rsid w:val="00443A3A"/>
    <w:rsid w:val="00446E87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355DF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02DC7"/>
    <w:rsid w:val="0060643A"/>
    <w:rsid w:val="00612F99"/>
    <w:rsid w:val="00614D80"/>
    <w:rsid w:val="00653A74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E3729"/>
    <w:rsid w:val="006E53FF"/>
    <w:rsid w:val="006F1BE8"/>
    <w:rsid w:val="00706C81"/>
    <w:rsid w:val="00714F09"/>
    <w:rsid w:val="00725367"/>
    <w:rsid w:val="00731F7C"/>
    <w:rsid w:val="00733CC6"/>
    <w:rsid w:val="00733FD7"/>
    <w:rsid w:val="00740532"/>
    <w:rsid w:val="00752868"/>
    <w:rsid w:val="007622CD"/>
    <w:rsid w:val="00772612"/>
    <w:rsid w:val="00785BB2"/>
    <w:rsid w:val="007907E5"/>
    <w:rsid w:val="00790F75"/>
    <w:rsid w:val="007B294B"/>
    <w:rsid w:val="007C6134"/>
    <w:rsid w:val="007F5AA8"/>
    <w:rsid w:val="00800C35"/>
    <w:rsid w:val="008117AC"/>
    <w:rsid w:val="008209F0"/>
    <w:rsid w:val="00844F0A"/>
    <w:rsid w:val="00850572"/>
    <w:rsid w:val="008571B1"/>
    <w:rsid w:val="00864184"/>
    <w:rsid w:val="008812CD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2CF0"/>
    <w:rsid w:val="00965293"/>
    <w:rsid w:val="00972703"/>
    <w:rsid w:val="009824C1"/>
    <w:rsid w:val="009853CF"/>
    <w:rsid w:val="00994C74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AF4B67"/>
    <w:rsid w:val="00B075A5"/>
    <w:rsid w:val="00B137C0"/>
    <w:rsid w:val="00B309CA"/>
    <w:rsid w:val="00B35C21"/>
    <w:rsid w:val="00B4074B"/>
    <w:rsid w:val="00B559F2"/>
    <w:rsid w:val="00B612F1"/>
    <w:rsid w:val="00B65124"/>
    <w:rsid w:val="00B662F6"/>
    <w:rsid w:val="00B72AE3"/>
    <w:rsid w:val="00B75868"/>
    <w:rsid w:val="00B83D19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4E84"/>
    <w:rsid w:val="00D62990"/>
    <w:rsid w:val="00D6520E"/>
    <w:rsid w:val="00D655A2"/>
    <w:rsid w:val="00D66E69"/>
    <w:rsid w:val="00D96328"/>
    <w:rsid w:val="00DA5910"/>
    <w:rsid w:val="00DA6707"/>
    <w:rsid w:val="00DB0A72"/>
    <w:rsid w:val="00DB6417"/>
    <w:rsid w:val="00DC32B3"/>
    <w:rsid w:val="00DC60C2"/>
    <w:rsid w:val="00DF313D"/>
    <w:rsid w:val="00E1423A"/>
    <w:rsid w:val="00E40AFC"/>
    <w:rsid w:val="00E62A56"/>
    <w:rsid w:val="00E75E12"/>
    <w:rsid w:val="00E95AA6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85947"/>
    <w:rsid w:val="00F9713A"/>
    <w:rsid w:val="00FA0143"/>
    <w:rsid w:val="00FA74EF"/>
    <w:rsid w:val="00FA77A6"/>
    <w:rsid w:val="00FB2E85"/>
    <w:rsid w:val="00FB6AC4"/>
    <w:rsid w:val="00FC4510"/>
    <w:rsid w:val="00FC5F24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3E5720"/>
    <w:pPr>
      <w:keepNext/>
      <w:keepLines/>
      <w:spacing w:before="240" w:after="12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720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polner@olkus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1751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Ziarnik Oliwier</cp:lastModifiedBy>
  <cp:revision>14</cp:revision>
  <cp:lastPrinted>2025-06-25T12:16:00Z</cp:lastPrinted>
  <dcterms:created xsi:type="dcterms:W3CDTF">2025-07-22T09:22:00Z</dcterms:created>
  <dcterms:modified xsi:type="dcterms:W3CDTF">2025-08-01T05:54:00Z</dcterms:modified>
</cp:coreProperties>
</file>