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8E" w:rsidRDefault="0036368E" w:rsidP="0036368E">
      <w:pPr>
        <w:shd w:val="clear" w:color="auto" w:fill="FFFFFF"/>
        <w:spacing w:before="100" w:beforeAutospacing="1" w:after="100" w:afterAutospacing="1" w:line="240" w:lineRule="auto"/>
        <w:ind w:left="-57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Zasady przyznawania bonu na zasiedlenie w 2025 r.</w:t>
      </w:r>
    </w:p>
    <w:p w:rsidR="0036368E" w:rsidRDefault="0036368E" w:rsidP="0036368E">
      <w:pPr>
        <w:shd w:val="clear" w:color="auto" w:fill="FFFFFF"/>
        <w:spacing w:before="100" w:beforeAutospacing="1" w:after="100" w:afterAutospacing="1" w:line="240" w:lineRule="auto"/>
        <w:ind w:left="-57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Podstawa prawna - art. 66n Ustawy z dnia 20 kwietnia 2004 roku o promocji zatrudnienia i instytucjach rynku pracy. </w:t>
      </w:r>
    </w:p>
    <w:p w:rsidR="0036368E" w:rsidRDefault="0036368E" w:rsidP="0036368E">
      <w:pPr>
        <w:shd w:val="clear" w:color="auto" w:fill="FFFFFF"/>
        <w:spacing w:before="100" w:beforeAutospacing="1" w:after="100" w:afterAutospacing="1" w:line="24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Na wniosek bezrobotnego do 30 roku życia na podstawie umowy, PUP może przyznać bon na zasiedlenie, w związku z podjęciem przez niego zatrudnienia, innej pracy zarobkowej lub działalności gospodarczej poza miejscem dotychczasowego zamieszkania, jeżeli:</w:t>
      </w:r>
    </w:p>
    <w:p w:rsidR="0036368E" w:rsidRDefault="0036368E" w:rsidP="00363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z tytułu ich wykonywania będzie osiągał wynagrodzenie lub przychód w </w:t>
      </w:r>
      <w:proofErr w:type="gramStart"/>
      <w:r>
        <w:rPr>
          <w:rFonts w:ascii="Tahoma" w:eastAsia="Times New Roman" w:hAnsi="Tahoma" w:cs="Tahoma"/>
          <w:color w:val="000000"/>
          <w:lang w:eastAsia="pl-PL"/>
        </w:rPr>
        <w:t>wysokości co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najmniej minimalnego wynagrodzenia za pracę brutto miesięcznie oraz będzie podlegał ubezpieczeniom społecznym,</w:t>
      </w:r>
    </w:p>
    <w:p w:rsidR="0036368E" w:rsidRDefault="0036368E" w:rsidP="00363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odległość od miejsca dotychczasowego zamieszkania do miejscowości, w której bezrobotny zamieszka w związku z podjęciem zatrudnienia, innej pracy zarobkowej lub działalności gospodarczej </w:t>
      </w:r>
      <w:proofErr w:type="gramStart"/>
      <w:r>
        <w:rPr>
          <w:rFonts w:ascii="Tahoma" w:eastAsia="Times New Roman" w:hAnsi="Tahoma" w:cs="Tahoma"/>
          <w:color w:val="000000"/>
          <w:lang w:eastAsia="pl-PL"/>
        </w:rPr>
        <w:t>wynosi co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najmniej 80 km lub czas dojazdu do tej miejscowości i powrotu do miejsca dotychczasowego zamieszkania środkami transportu zbiorowego przekracza łącznie co najmniej 3 godziny dziennie,</w:t>
      </w:r>
    </w:p>
    <w:p w:rsidR="0036368E" w:rsidRDefault="0036368E" w:rsidP="00363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będzie pozostawał w zatrudnieniu, wykonywał inną pracę zarobkową lub będzie prowadził działalność gospodarczą przez </w:t>
      </w:r>
      <w:proofErr w:type="gramStart"/>
      <w:r>
        <w:rPr>
          <w:rFonts w:ascii="Tahoma" w:eastAsia="Times New Roman" w:hAnsi="Tahoma" w:cs="Tahoma"/>
          <w:color w:val="000000"/>
          <w:lang w:eastAsia="pl-PL"/>
        </w:rPr>
        <w:t>okres co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najmniej 6 miesięcy.</w:t>
      </w: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Środki Funduszu Pracy przyznane w ramach bonu w wysokości określonej w umowie, nie wyższej jednak niż 200% przeciętnego wynagrodzenia za pracę, przeznacza się na pokrycie kosztów zamieszkania związanych z podjęciem zatrudnienia, innej pracy zarobkowej lub działalności gospodarczej.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</w:p>
    <w:p w:rsidR="00F4577A" w:rsidRDefault="0036368E" w:rsidP="00F4577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Wyłącza się możliwość przyznania bonu na zasiedlenie w przypadku podjęcia pracy w ramach udzielonej przez urząd pomocy, np. prac interwencyjnych, refundacji kosztów wyposażenia lub doposażenia stanowiska pracy, a także w przypadku podjęcia działalności gospodarczej finansowanej przez Urząd.</w:t>
      </w:r>
    </w:p>
    <w:p w:rsidR="00F4577A" w:rsidRPr="00F4577A" w:rsidRDefault="00F4577A" w:rsidP="00F4577A">
      <w:pPr>
        <w:pStyle w:val="Akapitzlist"/>
        <w:rPr>
          <w:rFonts w:ascii="Tahoma" w:eastAsia="Times New Roman" w:hAnsi="Tahoma" w:cs="Tahoma"/>
          <w:bCs/>
          <w:color w:val="000000"/>
          <w:lang w:eastAsia="pl-PL"/>
        </w:rPr>
      </w:pPr>
    </w:p>
    <w:p w:rsidR="00F4577A" w:rsidRP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Urząd może odmówić przyznania bonu na zasiedlenie Wnioskodawcy, który:</w:t>
      </w:r>
    </w:p>
    <w:p w:rsidR="0036368E" w:rsidRDefault="0036368E" w:rsidP="0036368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bCs/>
          <w:color w:val="000000"/>
          <w:lang w:eastAsia="pl-PL"/>
        </w:rPr>
        <w:t>korzystał</w:t>
      </w:r>
      <w:proofErr w:type="gramEnd"/>
      <w:r>
        <w:rPr>
          <w:rFonts w:ascii="Tahoma" w:eastAsia="Times New Roman" w:hAnsi="Tahoma" w:cs="Tahoma"/>
          <w:bCs/>
          <w:color w:val="000000"/>
          <w:lang w:eastAsia="pl-PL"/>
        </w:rPr>
        <w:t xml:space="preserve"> z tej formy wsparcia i ubiegając się ponownie o przyznanie bonu na zasiedlenie zamierza podjąć pracę u tego samego pracodawcy,</w:t>
      </w:r>
    </w:p>
    <w:p w:rsidR="0036368E" w:rsidRDefault="0036368E" w:rsidP="0036368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bCs/>
          <w:color w:val="000000"/>
          <w:lang w:eastAsia="pl-PL"/>
        </w:rPr>
        <w:t>zamierza</w:t>
      </w:r>
      <w:proofErr w:type="gramEnd"/>
      <w:r>
        <w:rPr>
          <w:rFonts w:ascii="Tahoma" w:eastAsia="Times New Roman" w:hAnsi="Tahoma" w:cs="Tahoma"/>
          <w:bCs/>
          <w:color w:val="000000"/>
          <w:lang w:eastAsia="pl-PL"/>
        </w:rPr>
        <w:t xml:space="preserve"> podjąć zatrudnienie lub inną pracę zarobkową u tego samego pracodawcy w okresie 6 miesięcy przed dniem ostatniej rejestracji w urzędzie.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Bony na zasiedlenie będą przyznawane do wyczerpania środków przeznaczonych na tę formę wsparcia w danym roku kalendarzowym.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W przypadku przyznania bonu na zasiedlenie współfinansowanego ze środków Unii Europejskiej mogą być określone dodatkowe kryteria wynikające z realizowanego projektu.</w:t>
      </w:r>
    </w:p>
    <w:p w:rsidR="00F4577A" w:rsidRPr="00F4577A" w:rsidRDefault="00F4577A" w:rsidP="00F4577A">
      <w:pPr>
        <w:pStyle w:val="Akapitzlist"/>
        <w:rPr>
          <w:rFonts w:ascii="Tahoma" w:eastAsia="Times New Roman" w:hAnsi="Tahoma" w:cs="Tahoma"/>
          <w:bCs/>
          <w:color w:val="000000"/>
          <w:lang w:eastAsia="pl-PL"/>
        </w:rPr>
      </w:pPr>
    </w:p>
    <w:p w:rsid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W pierwszej kolejności podlegają rozpatrzeniu wnioski osób, które:</w:t>
      </w:r>
    </w:p>
    <w:p w:rsidR="0036368E" w:rsidRDefault="0036368E" w:rsidP="0036368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korzystają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z tej formy pomocy po raz pierwszy,</w:t>
      </w:r>
    </w:p>
    <w:p w:rsidR="0036368E" w:rsidRDefault="0036368E" w:rsidP="0036368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udokumentują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celowość otrzymania bonu poprzez deklaracje pracodawcy o zamiarze zatrudnienia bądź deklaracje o podjęciu działalności gospodarczej.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Bonu na zasiedlenie nie może otrzymać osoba bezrobotna, która:</w:t>
      </w:r>
    </w:p>
    <w:p w:rsidR="0036368E" w:rsidRDefault="0036368E" w:rsidP="0036368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posiada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stałe lub czasowe zameldowanie w miejscowości, w której zamierza zamieszkać oraz podjąć zatrudnienie, inną pracę zarobkową lub działalność gospodarczą,</w:t>
      </w:r>
    </w:p>
    <w:p w:rsidR="0036368E" w:rsidRDefault="0036368E" w:rsidP="0036368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lastRenderedPageBreak/>
        <w:t>zamierza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podjąć zatrudnienie, inną pracę zarobkową lub działalność gospodarczą poza terytorium Rzeczypospolitej Polskiej.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pacing w:before="100" w:beforeAutospacing="1" w:after="120" w:line="276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Oceny wniosków dokonuje Dyrektor, Kierownik Centrum Aktywizacji Zawodowej oraz Kierownik Działu Instrumentów Rynku Pracy.</w:t>
      </w:r>
    </w:p>
    <w:p w:rsidR="0036368E" w:rsidRDefault="0036368E" w:rsidP="0036368E">
      <w:pPr>
        <w:pStyle w:val="Akapitzlist"/>
        <w:spacing w:before="100" w:beforeAutospacing="1" w:after="120" w:line="276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Nieobecność jednej z osób nie wstrzymuje rozpatrywania wniosków.</w:t>
      </w:r>
    </w:p>
    <w:p w:rsidR="00F4577A" w:rsidRDefault="00F4577A" w:rsidP="0036368E">
      <w:pPr>
        <w:pStyle w:val="Akapitzlist"/>
        <w:spacing w:before="100" w:beforeAutospacing="1" w:after="120" w:line="276" w:lineRule="auto"/>
        <w:ind w:left="-57"/>
        <w:rPr>
          <w:rFonts w:ascii="Tahoma" w:hAnsi="Tahoma" w:cs="Tahoma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Osoba uprawniona składa wniosek o przyznanie bonu na zasiedlenie bezpośrednio w urzędzie, przesyła drogą pocztową lub elektroniczną na obowiązujących formularzach wraz z wymaganymi załącznikami.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-57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16441C" w:rsidP="0036368E">
      <w:pPr>
        <w:pStyle w:val="Akapitzlist"/>
        <w:shd w:val="clear" w:color="auto" w:fill="FFFFFF"/>
        <w:spacing w:before="100" w:beforeAutospacing="1" w:after="12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   </w:t>
      </w:r>
      <w:r w:rsidR="0036368E">
        <w:rPr>
          <w:rFonts w:ascii="Tahoma" w:eastAsia="Times New Roman" w:hAnsi="Tahoma" w:cs="Tahoma"/>
          <w:color w:val="000000"/>
          <w:lang w:eastAsia="pl-PL"/>
        </w:rPr>
        <w:t>Wniosek wraz z załącznikami złożony w formie elektronicznej musi posiadać:</w:t>
      </w:r>
    </w:p>
    <w:p w:rsidR="0036368E" w:rsidRDefault="0036368E" w:rsidP="00363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36368E" w:rsidRDefault="0036368E" w:rsidP="00363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potwierdzony profilem zaufanym elektronicznej platformy usług administracji publicznej.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0" w:line="240" w:lineRule="auto"/>
        <w:ind w:left="-57"/>
        <w:rPr>
          <w:rFonts w:ascii="Tahoma" w:eastAsia="Times New Roman" w:hAnsi="Tahoma" w:cs="Tahoma"/>
          <w:color w:val="000000"/>
          <w:lang w:eastAsia="pl-PL"/>
        </w:rPr>
      </w:pPr>
    </w:p>
    <w:p w:rsidR="00F4577A" w:rsidRPr="00F4577A" w:rsidRDefault="0036368E" w:rsidP="00724C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 w:hanging="414"/>
        <w:rPr>
          <w:rFonts w:ascii="Tahoma" w:eastAsia="Times New Roman" w:hAnsi="Tahoma" w:cs="Tahoma"/>
          <w:color w:val="000000"/>
          <w:lang w:eastAsia="pl-PL"/>
        </w:rPr>
      </w:pPr>
      <w:r w:rsidRPr="00F4577A">
        <w:rPr>
          <w:rFonts w:ascii="Tahoma" w:hAnsi="Tahoma" w:cs="Tahoma"/>
        </w:rPr>
        <w:t>Dyrektor lub osoba upoważniona podejmuje ostateczną decyzję o zakwalifikowaniu wniosku do pozytywnego załatwienia.</w:t>
      </w:r>
    </w:p>
    <w:p w:rsidR="00F4577A" w:rsidRP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0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36368E" w:rsidP="00724C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 w:hanging="414"/>
        <w:rPr>
          <w:rFonts w:ascii="Tahoma" w:eastAsia="Times New Roman" w:hAnsi="Tahoma" w:cs="Tahoma"/>
          <w:color w:val="000000"/>
          <w:lang w:eastAsia="pl-PL"/>
        </w:rPr>
      </w:pPr>
      <w:r w:rsidRPr="00F4577A">
        <w:rPr>
          <w:rFonts w:ascii="Tahoma" w:eastAsia="Times New Roman" w:hAnsi="Tahoma" w:cs="Tahoma"/>
          <w:color w:val="000000"/>
          <w:lang w:eastAsia="pl-PL"/>
        </w:rPr>
        <w:t>W przypadku wniosków ocenionych pozytywnie w ilości przekraczającej możliwość sfinansowania ich przez Urząd w danym naborze, o przyznaniu środków decyduje kolejność złożenia wniosku.</w:t>
      </w:r>
    </w:p>
    <w:p w:rsidR="00F4577A" w:rsidRPr="00F4577A" w:rsidRDefault="00F4577A" w:rsidP="00F4577A">
      <w:pPr>
        <w:pStyle w:val="Akapitzlist"/>
        <w:rPr>
          <w:rFonts w:ascii="Tahoma" w:eastAsia="Times New Roman" w:hAnsi="Tahoma" w:cs="Tahoma"/>
          <w:color w:val="000000"/>
          <w:lang w:eastAsia="pl-PL"/>
        </w:rPr>
      </w:pPr>
    </w:p>
    <w:p w:rsidR="00F4577A" w:rsidRP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0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 w:hanging="414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Złożenie wniosku nie jest równoznaczne z jego pozytywnym rozpatrzeniem.</w:t>
      </w:r>
    </w:p>
    <w:p w:rsidR="00F4577A" w:rsidRDefault="00F4577A" w:rsidP="00F4577A">
      <w:pPr>
        <w:pStyle w:val="Akapitzlist"/>
        <w:shd w:val="clear" w:color="auto" w:fill="FFFFFF"/>
        <w:spacing w:before="100" w:beforeAutospacing="1" w:after="120" w:line="240" w:lineRule="auto"/>
        <w:ind w:left="0"/>
        <w:rPr>
          <w:rFonts w:ascii="Tahoma" w:eastAsia="Times New Roman" w:hAnsi="Tahoma" w:cs="Tahoma"/>
          <w:color w:val="000000"/>
          <w:lang w:eastAsia="pl-PL"/>
        </w:rPr>
      </w:pPr>
    </w:p>
    <w:p w:rsidR="0036368E" w:rsidRDefault="0036368E" w:rsidP="0036368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440" w:line="240" w:lineRule="auto"/>
        <w:ind w:left="0" w:right="425" w:hanging="414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Odstępstwo od niniejszych zasad może nastąpić tylko w uzasadnionych przypadkach po wyrażeniu zgody przez Dyrektora lub osoby upoważnionej.</w:t>
      </w:r>
    </w:p>
    <w:p w:rsidR="00FE77D9" w:rsidRPr="00C30F17" w:rsidRDefault="00C30F17" w:rsidP="00C30F17">
      <w:pPr>
        <w:ind w:left="2124" w:firstLine="708"/>
        <w:rPr>
          <w:rFonts w:ascii="Tahoma" w:hAnsi="Tahoma" w:cs="Tahoma"/>
          <w:i/>
        </w:rPr>
      </w:pPr>
      <w:bookmarkStart w:id="0" w:name="_GoBack"/>
      <w:r w:rsidRPr="00C30F17">
        <w:rPr>
          <w:rFonts w:ascii="Tahoma" w:hAnsi="Tahoma" w:cs="Tahoma"/>
          <w:i/>
        </w:rPr>
        <w:t>Dyrektor Powiatowego Urzędu Pracy w Olkuszu</w:t>
      </w:r>
    </w:p>
    <w:p w:rsidR="00C30F17" w:rsidRPr="00C30F17" w:rsidRDefault="00C30F17" w:rsidP="00C30F17">
      <w:pPr>
        <w:ind w:left="3540" w:firstLine="708"/>
        <w:rPr>
          <w:rFonts w:ascii="Tahoma" w:hAnsi="Tahoma" w:cs="Tahoma"/>
          <w:i/>
        </w:rPr>
      </w:pPr>
      <w:r w:rsidRPr="00C30F17">
        <w:rPr>
          <w:rFonts w:ascii="Tahoma" w:hAnsi="Tahoma" w:cs="Tahoma"/>
          <w:i/>
        </w:rPr>
        <w:t>Piotr Polak</w:t>
      </w:r>
      <w:bookmarkEnd w:id="0"/>
    </w:p>
    <w:sectPr w:rsidR="00C30F17" w:rsidRPr="00C3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A2D"/>
    <w:multiLevelType w:val="hybridMultilevel"/>
    <w:tmpl w:val="08061B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45C3181B"/>
    <w:multiLevelType w:val="hybridMultilevel"/>
    <w:tmpl w:val="EC46D29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B645D27"/>
    <w:multiLevelType w:val="multilevel"/>
    <w:tmpl w:val="9AA8C3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F6917"/>
    <w:multiLevelType w:val="hybridMultilevel"/>
    <w:tmpl w:val="75280B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D9921D2"/>
    <w:multiLevelType w:val="hybridMultilevel"/>
    <w:tmpl w:val="3BE2E006"/>
    <w:lvl w:ilvl="0" w:tplc="36581F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0"/>
    <w:rsid w:val="0016441C"/>
    <w:rsid w:val="0036368E"/>
    <w:rsid w:val="00827601"/>
    <w:rsid w:val="00A948CE"/>
    <w:rsid w:val="00C30F17"/>
    <w:rsid w:val="00E674B0"/>
    <w:rsid w:val="00F4577A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9E1B-E7EB-455A-A297-46C718E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68E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363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11</cp:revision>
  <cp:lastPrinted>2025-01-08T13:07:00Z</cp:lastPrinted>
  <dcterms:created xsi:type="dcterms:W3CDTF">2024-12-06T08:03:00Z</dcterms:created>
  <dcterms:modified xsi:type="dcterms:W3CDTF">2025-01-21T08:28:00Z</dcterms:modified>
</cp:coreProperties>
</file>